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350 vom 15. Februar 2021</w:t>
      </w:r>
    </w:p>
    <w:p>
      <w:r>
        <w:t>BE Verwaltungsgericht, 2021-02-15, DE</w:t>
      </w:r>
    </w:p>
    <w:p>
      <w:r>
        <w:rPr>
          <w:b/>
        </w:rPr>
        <w:t xml:space="preserve">Quelle: </w:t>
      </w:r>
      <w:r>
        <w:t>https://mcp.opencaselaw.ch/entscheid/be_verwaltungsgericht_200_2020_350</w:t>
      </w:r>
    </w:p>
    <w:p>
      <w:r>
        <w:t>FR: BE_VERWALTUNGSGERICHT 200 2020 350 du 15 février 2021</w:t>
      </w:r>
    </w:p>
    <w:p>
      <w:r>
        <w:t>IT: BE_VERWALTUNGSGERICHT 200 2020 350 del 15 febbraio 2021</w:t>
      </w:r>
    </w:p>
    <w:p>
      <w:pPr>
        <w:pStyle w:val="Heading2"/>
      </w:pPr>
      <w:r>
        <w:t>Regeste</w:t>
      </w:r>
    </w:p>
    <w:p>
      <w:r>
        <w:t>Verfügung vom 7.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April 2020 (AB 68). Streitig und zu prüfen ist der Anspruch des Beschwerdeführers auf eine Rente der Invalidenversicherung.</w:t>
      </w:r>
    </w:p>
    <w:p>
      <w:r>
        <w:t>Urteil des Verwaltungsgerichts des Kantons Bern vom 15. Feb. 2021, IV/20/350,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15. Feb. 2021, IV/20/350, Seite 5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In medizinischer Hinsicht ist den Akten – soweit entscheidwesent- lich – das Folgende zu entnehmen: 3.1.1 Dr. med. C.________, Facharzt für Allgemeine Innere Medizin und für Rheumatologie, diagnostizierte im Bericht vom 6. September 2018 (AB 15.2 S. 2 f.) einen Verdacht auf eine diffuse idiopathische skelettale Hype- rostose (DISH), eine Hämochromatose und einen positiven ANA-Titer, wahrscheinlich ohne klinische Bedeutung. Er führte aus, die Beschwerden des Patienten könnten nicht mit einer axialen Spondyloarthritis (Morbus Bechterew) erklärt werden. Die Kriterien für eine DISH seien formal nicht gegeben, da nicht drei benachbarte Segmente eine überbrückende Hype- rostose aufweisen würden. Dennoch sei denkbar, dass dieser Prozess im Status nascendi vorliege. 3.1.2 Im Bericht vom 14. Dezember 2018 (AB 21 S. 3 f.) hielt Dr. med. D.________, Facharzt für Allgemeine Innere Medizin, fest, aktuell bestehe ein akuter Schub der DISH, die ersten Symptome seien anfangs Juli 2018 mit schweren anterioren thorakalen Schmerzen, insbesondere in der Nacht und bei Belastung, aufgetreten. Die Behandlungen mit nichtsteroidalen Antirheumatika und Steroiden seien bisher ohne bleibenden Effekt geblie- ben. Seit 16. Juli 2018 bestehe eine Arbeitsunfähigkeit von 75 %. Mittel- schwere und schwere Tätigkeiten in der ...landwirtschaft seien unmöglich</w:t>
      </w:r>
    </w:p>
    <w:p>
      <w:r>
        <w:t>Urteil des Verwaltungsgerichts des Kantons Bern vom 15. Feb. 2021, IV/20/350, Seite 6 und lösten sofort stärkste Schmerzen aus; es seien nur leichte Arbeiten möglich. 3.1.3 Dem Austrittsbericht des Spitals E.________, vom 12. Februar 2019 (AB 29 S. 2 ff.) sind die folgenden Diagnosen zu entnehmen: 1. Diffuse idiopathische skelettale Hyperostose - symptomatisch seit 06/2018 im Bereich der BWS - szintigraphisch Aktivierungszeichen im Bereich der BWK 11/12 - MRI LWS/Becken 01/19: Kein Hinweis auf Entzündungsaktivität; klei- ne, nicht aktive Romanus-Läsionen BWK11 und BWK12; diskrete mul- tisegmentale degenerative Veränderungen - unauffälliges Röntgen der Hände 01/19. 2. Hämochromatose - jahrelange wechselnde Arthralgien, unter Therapie mit periodischen Aderlässen - Sonografie Abdomen 03/18: Hyperechogene, verdichtete Leber ohne Hinweise auf Umbau oder fokale Läsion; formal Splenomegalie mit 13.2 cm - transthorakale Echokardiographie vom 22.01.2019: Normale systoli- sche LV-Funktion; LV Hypertrophie mit diastolischer Dysfunktion; LA normal dimensioniert. Keine relevanten Klappenvitien. Normale RV- Funktion und Dimension. RA normal dimensioniert. Der pulmonale Druck (RV/RA Gradient) ist nicht erfassbar. Die Ärzte führten aus, die Therapie einer diffusen idiopathischen skeletta- len Hyporostose sei erfahrungsgemäss schwierig und oft frustran. Bei feh- lender Besserung nach einmaliger Gabe von 5 mg Zoledronat am 25. Ja- nuar 2019 werde ein Therapieversuch mit TNF-alpha-Inhibitor empfohlen. Es wurde eine vollständige Arbeitsunfähigkeit für die Dauer der Hospitalisa- tion vom 21. bis 25. Januar 2019 und ab 28. Januar 2019 bis auf weiteres eine solche von 75 % attestiert (AB 21 S. 2). 3.1.4 Im Bericht vom 5. April 2019 (AB 30.3 S. 1 f.) hielt Dr. med. D.________ fest, das Heben und Tragen von Lasten sowie das lange Ste- hen seien sehr ungünstig; auch das lange Sitzen in gleicher Position ver- schlimmere die Beschwerden. Am besten sei das Gehen über kurze Stre- cken. Das Lenken eines Personenwagens verschlimmere die Beschwer- den, sei aber für ca. 30 Minuten möglich. Die Beschwerden hätten mit Ar- coxia leicht günstig beeinflusst werden können, von einem richtigen Forts- chritt könne nicht die Rede sein. Aus hausärztlicher Sicht sei der Patient seit dem 16. Juli 2018 zu 75 % arbeitsunfähig.</w:t>
      </w:r>
    </w:p>
    <w:p>
      <w:r>
        <w:t>Urteil des Verwaltungsgerichts des Kantons Bern vom 15. Feb. 2021, IV/20/350, Seite 7 Dem Bericht vom 7. August 2019 (AB 41 S. 3) ist zu entnehmen, dass der Patient über drückende Schmerzen im Bereiche des Thorax anterior und dorsal schon bei geringen Belastungen klage. Die geschilderten Beschwer- den seien völlig glaubhaft und plausibel. Für ihn als Hausarzt sei der Pati- ent in dieser komplexen Situation aktuell zu 25 % arbeitsfähig. 3.1.5 Die RAD-Ärztin med. pract. F.________, Fachärztin für Arbeits- medizin, erachtete im Bericht vom 30. Oktober 2019 (AB 46) die Berichte der behandelnden Ärzte sowie die attestierten Arbeitsunfähigkeiten für nachvollziehbar. Es bestehe eine Minderbelastbarkeit der Wirbelsäule, die Leistungsfähigkeit in der Tätigkeit als selbstständiger Landwirt sei herabge- setzt. Zumutbar seien körperlich leichte bis ausnahmsweise mittelschwere wechselbelastende Tätigkeiten ganztags über 8.5 Stunden ohne zusätzli- che Leistungsminderung. Zu vermeiden seien Zwangshaltungen des Oberkörpers (z.B. längeres Verharren in vornüber geneigter Haltung, ob stehend oder sitzend), Arbeiten mit repetitiven Rotationsbewegungen des Oberkörpers, Rotation des Oberkörpers im Sitzen/Stehen unter Gewichts- belastung, das Heben von Lasten körperfern, repetitives Heben von Lasten über Brusthöhe, Überkopfarbeiten, das Besteigen von Leitern, repetitives Kauern, Bücken oder Tätigkeiten in nach vorne geneigter Haltung, repetiti- ve, stereotype Bewegungsabläufe im Bereich der HWS und LWS sowie unerwartete, asymmetrische Lasteinwirkungen. In Ausnahmefällen und in nicht repetitiver Weise könnten Gewichte von 10-15 kg gehoben und getra- gen werden. Im Dokument "Besprechung RAD" vom 22. Januar 2019 (AB 56 S. 3) hielt die RAD-Ärztin fest, das Zumutbarkeitsprofil sei seit Juli 2018 (mit subaku- tem Beginn der Symptomatik) gültig.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15. Feb. 2021, IV/20/350, Seite 8 ben, warum es auf die eine und nicht auf die andere medizinische These abstellt (BGE 143 V 124 E. 2.2.2 S. 127, 125 V 351 E. 3a S. 352).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(SVR 2008 IV Nr. 22 S. 70 E. 2.4). Soll ein Versicherungs- fall ohne Einholung eines externen Gutachtens entschieden werden, so sind an die Beweiswürdigung strenge Anforderungen zu stellen.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3.4 In medizinischer Hinsicht stützte sich die Beschwerdegegnerin bei Erlass der angefochtenen Verfügung auf den Bericht der RAD-Ärztin med. pract. F.________ vom 30. Oktober 2019 (AB 46) bzw. auf das von ihr de- finierte Zumutbarkeitsprofil.</w:t>
      </w:r>
    </w:p>
    <w:p>
      <w:r>
        <w:t>Urteil des Verwaltungsgerichts des Kantons Bern vom 15. Feb. 2021, IV/20/350, Seite 9 3.4.1 Die RAD-Ärztin hat den Beschwerdeführer nicht untersucht und ihre Beurteilung gestützt auf die nicht sehr umfangreiche medizinische Ak- tenlage abgegeben. Zwar können auch reine Aktengutachten beweiskräftig sein, sofern ein lückenloser Befund vorliegt und es im Wesentlichen nur um die fachärztliche Beurteilung eines an sich feststehenden medizinischen Sachverhalts geht (SVR 2020 IV Nr. 38 S. 134 E. 4.3). Dies ist vorliegend jedoch nicht der Fall: Die RAD-Ärztin med. pract. F.________ verfügt als Fachärztin für Arbeitsmedizin nicht über die fachärztliche Qualifikation zur Beurteilung der orthopädischen bzw. rheumatologischen sowie hämatologi- schen Gesundheitsbeeinträchtigungen des Beschwerdeführers. Die mit dem "RAD-Orthopäden (WLO)" durchgeführte Besprechung der orthopädi- schen Befunde (vgl. AB 46 S. 6) vermag daran nichts zu ändern, zumal sich diesbezüglich kein Aktenstück findet und dementsprechend unklar bleibt, inwiefern und wie vertieft sich der angesprochene RAD-Arzt Dr. med. G.________, Facharzt für Orthopädische Chirurgie und Traumatolo- gie des Bewegungsapparates, mit den medizinischen Unterlagen ausein- andergesetzt hat. Zwar hält Dr. med. G.________ in der mit der Beschwer- deantwort eingereichten Aktennotiz vom 12. Juni 2020 (in den Gerichtsak- ten) fest, die Berichte der behandelnden Ärzte seien in der Stellungnahme vom 30. Oktober 2019 berücksichtigt worden, allerdings stammt der ent- sprechende Bericht – wie bereits dargelegt – nicht von ihm, sondern von med. pract. F.________. 3.4.2 Die RAD-Ärztin erachtete einerseits körperlich leichte bis aus- nahmsweise mittelschwere wechselbelastende Tätigkeiten ganztags über 8.5 Stunden ohne zusätzliche Leistungsminderung als zumutbar (AB 46 S. 6) und betrachtete andererseits die Einschätzung der behandelnden Ärzte aufgrund der Anamnese, bildgebenden Befunde und geklagten Schmerzen als medizinisch nachvollziehbar (AB 46 S. 5). Dies stellt inso- fern einen Widerspruch dar, als insbesondere der Hausarzt Dr. med. D.________ implizit auch bei leichten Tätigkeiten von einer Einschränkung der Leistungsfähigkeit ausgeht: Im Bericht vom 1. Februar 2019 (Be- schwerdebeilage [BB] 13) hielt er fest, bereits leichte Arbeiten führten zu nicht tolerierbaren Schmerzen. Am 7. August 2019 (AB 41 S. 3) berichtete er über drückende Schmerzen im Bereiche des Thorax anterior und dorsal schon bei geringen Belastungen, welche Beschwerden völlig glaubhaft und</w:t>
      </w:r>
    </w:p>
    <w:p>
      <w:r>
        <w:t>Urteil des Verwaltungsgerichts des Kantons Bern vom 15. Feb. 2021, IV/20/350, Seite 10 plausibel seien. Mit diesen Einschätzungen hat sich die RAD-Ärztin nicht auseinandergesetzt. Insgesamt ergeben sich damit in Bezug auf den Be- weiswert des Berichts von med. pract. F.________ vom 30. Oktober 2019 (AB 46) zumindest geringe Zweifel, weshalb darauf nicht abgestellt werden kann (vgl. E. 3.3 hiervor). 3.5 Auf der anderen Seite gilt dies ebenfalls für die Einschätzung der behandelnden Ärzte: Dr. med. C.________ äusserte sich im Bericht vom 6. September 2018 (AB 15.2 S. 2 f.) nicht zur medizinisch-theoretischen Arbeitsfähigkeit. Der Hausarzt Dr. med. D.________ verfügt wie die RAD- Ärztin med. pract. F.________ nicht über den für die Beurteilung des hier im Zentrum stehenden Gesundheitsschadens erforderlichen Facharzttitel. Das ärztliche Zeugnis des Spitals E.________ vom 25. Januar 2019 (AB 21 S. 2), in welchem unter anderem ab 28. Januar 2019 eine Arbeitsunfähig- keit von 75 % attestiert wurde, bezieht sich offensichtlich ausschliesslich auf den angestammten Beruf. Diesbezüglich kommt hinzu, dass die unter- zeichnende Assistenzärztin Dr. med. H.________ über keinen Facharzttitel verfügt und der den Bericht vom 12. Februar 2019 (AB 29 S. 2 ff) mitunter- zeichnende Oberarzt Dr. med. I.________ Facharzt für Allgemeine Innere Medizin ist. 3.6 Nach dem hiervor Dargelegten kann weder auf die Einschätzung der RAD-Ärztin med. pract. F.________ noch auf die Beurteilung der be- handelnden Ärzte abgestellt werden. Damit hat die Beschwerdegegnerin den rechtserheblichen medizinischen Sachverhalt ungenügend abgeklärt (vgl. Art. 43 Abs. 1 ATSG). Sie wird deshalb ein verwaltungsexternes, auf einer persönlichen Untersuchung beruhendes Gutachten zu veranlassen haben.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15. Feb. 2021, IV/20/350, Seite 11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SVR 2019 BVG Nr. 16 S. 64 E. 4.4.2). Lassen sich die beiden hypothetischen Erwerbseinkommen nicht zuverläs- sig ermitteln oder schätzen, so ist in Anlehnung an die spezifische Methode für Nichterwerbstätige (Art. 28a Abs. 2 IVG) zunächst anhand eines Betäti- gungsvergleichs die leidensbedingte Behinderung festzustellen. Diese ist alsdann im Hinblick auf ihre erwerblichen Auswirkungen noch besonders zu gewichten. Eine bestimmte Einschränkung im funktionellen Leistungsver- mögen einer erwerbstätigen Person kann zwar, braucht aber nicht notwen- digerweise eine Erwerbseinbusse gleichen Umfangs zur Folge zu haben (ausserordentliches Bemessungsverfahren; BGE 128 V 29 E. 1 S. 31, 104 V 135 E. 2c S. 138; SVR 2020 IV Nr. 23 S. 77 E. 3.2). Die ausserordentliche Methode ist keine Untervariante der allgemeinen Methode, da sie in jenen Fällen zur Anwendung gelangt, in welchen selbst eine hypothetische Ermittlung der Erwerbseinkommen nicht möglich ist. Folglich fällt für die erwerbliche Gewichtung ein Einkommensvergleich aus- ser Betracht. Um die wirtschaftliche Gewichtung vorzunehmen, bietet sich an, den Wert der verschiedenen Betätigungen im Verhältnis zueinander festzustellen und mit der Einschränkung im jeweiligen Tätigkeitsbereich in Beziehung zu setzen. Für die Bemessung des wirtschaftlichen Werts einer Tätigkeit liegt es nahe, von den diesbezüglichen, möglichst einzelfallbezo- genen Ansätzen auszugehen; diese könnten etwa bei den branchenspezifi- schen Berufsverbänden erfragt werden (BGE 128 V 29 E. 4a - c S. 32). Alsdann ist nach der in BGE 128 V 29 E. 4c S. 33 dargelegten Formel vor- zugehen.</w:t>
      </w:r>
    </w:p>
    <w:p>
      <w:r>
        <w:t>Urteil des Verwaltungsgerichts des Kantons Bern vom 15. Feb. 2021, IV/20/350, Seite 12 4.2 Der Beschwerdeführer ist seit 1998 als selbstständiger Landwirt mit eigenem Betrieb tätig (AB 57 S. 3). Zur Ermittlung des Invaliditätsgra- des führte der Abklärungsdienst am 11. Dezember 2019 eine Abklärung an Ort und Stelle durch (Art. 69 Abs. 2 der Verordnung vom 17. Januar 1961 über die Invalidenversicherung [IVV; SR 831.201; vgl. Bundesamt für Sozi- alversicherung [BSV], Kreisschreiben über Invalidität und Hilflosigkeit in der Invalidenversicherung [KSIH], gültig ab 1. Januar 2015, Rz. 1058). Die Abklärungsfachperson hielt im "Abklärungsbericht Landwirtschaft" vom 29. Januar 2020 (AB 57) unter anderem fest, der Beschwerdeführer habe seine Nebentätigkeit als ... ab dem Beginn der Arbeitsunfähigkeit aufgeben müssen. Die Nebentätigkeit als ... bei der J.________ sei per Ende 2016 wegen einer Erkrankung der Ehefrau aufgegeben worden. Bezüglich Be- wirtschaftung und Infrastruktur seien behinderungsbedingt keine Anpas- sungen vorgenommen worden. Nicht behinderungsbedingt sei im Zuge der Umstellung auf Mutterkuhhaltung im Jahr 2013 ein neuer Stall direkt neben dem Wohnhaus gebaut worden. Vor dem Neubau seien die Tiere in drei verschiedenen Ställen gehalten und gemolken worden. Die somit erfolgte Minimierung des Arbeitsaufwandes könne als allgemeine arbeitswirtschaft- liche Optimierung eingestuft werden. Behinderungsbedingt seien Kosten für Arbeiten durch Dritte beim Silieren, Heuen und Gülle ausbringen entstan- den. Bei guter Gesundheit habe der Beschwerdeführer diese Arbeiten zum grössten Teil selber erledigt. Beim Silieren und Gülle ausbringen (Schlepp- schlauch) sei schon vor der Behinderung eine zweite Person benötigt wor- den. Diese Arbeiten seien meist in Form von Gegendiensten mit dem Nachbarn abgegolten worden. Er könne nun aber keinen Gegendienst mehr erbringen. Die Mehrkosten würden sich erst in Zukunft in der Buch- haltung niederschlagen. Anhand des ART Arbeitsvoranschlags (Software für die landwirtschaftliche Betriebsplanung) von Agroscope errechnete die Abklärungsfachperson eine Arbeitsunfähigkeit von 56 % in der Tätigkeit als Landwirt (AB 57 S. 6 Ziff. 7). Für die Festsetzung der Invalidität zog die Beschwerdegegnerin jedoch nicht diesen – in Anwendung der ausserordentlichen Methode ermit- telten (vgl. E. 4.1 hiervor) – Wert bei, vielmehr bemass sie den Invaliditäts-</w:t>
      </w:r>
    </w:p>
    <w:p>
      <w:r>
        <w:t>Urteil des Verwaltungsgerichts des Kantons Bern vom 15. Feb. 2021, IV/20/350, Seite 13 grad nach der allgemeinen Methode des Einkommensvergleichs und setzte ihn auf 24 % fest. 4.3 Mit der Bemessung des Invaliditätsgrades anhand eines Einkom- mensvergleichs nach Art. 28a Abs. 1 IVG anstatt der ausserordentlichen Methode ging die Beschwerdegegnerin offenbar implizit davon aus, der Beschwerdeführer habe unter dem Titel der Schadenminderung (vgl. Art. 7 Abs. 1 IVG) einen Berufswechsel und damit die Aufgabe seines Landwirt- schaftsbetriebes vorzunehmen, ohne dies allerdings weiter zu begründen (vgl. BGE 130 V 97 E. 3.2; Entscheid des Bundesgerichts vom 7. April 2013, 9C_652/2012, E. 3.1). Nach erfolgter medizinischer Abklärung (E. 3.6 hiervor) wird die Beschwer- degegnerin im Rahmen der Invaliditätsbemessung damit auch zu prüfen haben, ob dem Beschwerdeführer aufgrund der Schadenminderungspflicht die Aufgabe der selbstständigen zu Gunsten einer einträglicheren un- selbstständigen Erwerbstätigkeit unter Berücksichtigung der gesamten Umstände (Alter, Aktivitätsdauer, Ausbildung, persönliche Lebensumstän- de) zuzumuten ist. 4.4 Nach dem Dargelegten erweist sich der Sachverhalt als ungenü- gend abgeklärt und die Sache geht in Gutheissung der Beschwerde an- tragsgemäss (Beschwerde, S. 2) zurück an die Beschwerdegegnerin, damit sie den Beschwerdeführer begutachten lasse und anschliessend über den Rentenanspruch unter Berücksichtigung der vorstehenden Erwägungen neu verfüge. 5. 5.1 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w:t>
      </w:r>
    </w:p>
    <w:p>
      <w:r>
        <w:t>Urteil des Verwaltungsgerichts des Kantons Bern vom 15. Feb. 2021, IV/20/350, Seite 14 Die Verfahrenskosten, gerichtlich bestimmt auf Fr. 800.--, hat bei diesem Ausgang des Verfahrens die unterliegende Beschwerdegegnerin zu tragen (vgl. BVR 2009 S. 187 E. 4). Der vom Beschwerdeführer geleistete Kosten- vorschuss von Fr. 800.-- ist ihm nach Eintritt der Rechtskraft des Urteils zurückzuerstatten. 5.2 Die obsiegende Beschwerde führende Person hat Anspruch auf Ersatz der Parteikosten. Diese werden ohne Rücksicht auf den Streitwert nach der Bedeutung der Streitsache und nach der Schwierigkeit des Pro- zesses bemessen (vgl. Art. 1 Abs. 1 IVG i.V.m. Art. 61 lit. g ATSG). Nach der Rechtsprechung gilt es unter dem Gesichtspunkt des (bundesrechtli- chen) Anspruchs auf eine Parteientschädigung im Streit um eine Sozialver- sicherungsleistung bereits als Obsiegen, wenn die versicherte Person ihre Rechtsstellung im Vergleich zu derjenigen nach Abschluss des Administra- tivverfahrens insoweit verbessert, als sie die Aufhebung einer ablehnenden Verfügung und die Rückweisung der Sache an die Verwaltung zu ergän- zender Abklärung und neuer Beurteilung erreicht (BGE 137 V 57 E. 2.1 S. 61). Dies gilt unabhängig davon, ob die Rückweisung beantragt oder ob das entsprechende Begehren im Haupt- oder im Eventualantrag gestellt wird (SVR 2017 KV Nr. 9 S. 43 E. 9.1).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 versicherungsrechtlichen Abteilung und der Abteilung für französischspra- chige Geschäfte des Verwaltungsgerichts des Kantons Bern vom 16. De- zember 2009, abrufbar unter www.justice.be.ch). Im Falle der Vertretung durch Rechtsschutzversicherungen, Gewerkschaf- ten und Berufsverbände wird der Stundenansatz bei einer fachlich qualifi-</w:t>
      </w:r>
    </w:p>
    <w:p>
      <w:r>
        <w:t>Urteil des Verwaltungsgerichts des Kantons Bern vom 15. Feb. 2021, IV/20/350, Seite 15 zierten Vertretung auf Fr. 180.-- und bei einer fachlich nicht qualifizierten Vertretung auf Fr. 100.-- festgelegt. Entsprechend der angemessenen Kostennote von Rechtsanwältin Daniela Mauchle von der Bäuerlichen Rechtsschutzversicherung FRV vom 14. Juli 2020 wird die Parteientschädigung auf Fr. 1'744.20 festgesetzt (Aufwand von 9.5 Stunden à Fr. 180.-- zuzüglich Auslagen von Fr. 34.20). Diesen Betrag hat die Beschwerdegegnerin dem Beschwerdeführer zu ersetzen.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