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282 vom 13. Januar 2021</w:t>
      </w:r>
    </w:p>
    <w:p>
      <w:r>
        <w:t>BE Verwaltungsgericht, 2021-01-13, DE</w:t>
      </w:r>
    </w:p>
    <w:p>
      <w:r>
        <w:rPr>
          <w:b/>
        </w:rPr>
        <w:t xml:space="preserve">Quelle: </w:t>
      </w:r>
      <w:r>
        <w:t>https://mcp.opencaselaw.ch/entscheid/be_verwaltungsgericht_200_2020_282</w:t>
      </w:r>
    </w:p>
    <w:p>
      <w:r>
        <w:t>FR: BE_VERWALTUNGSGERICHT 200 2020 282 du 13 janvier 2021</w:t>
      </w:r>
    </w:p>
    <w:p>
      <w:r>
        <w:t>IT: BE_VERWALTUNGSGERICHT 200 2020 282 del 13 gennaio 2021</w:t>
      </w:r>
    </w:p>
    <w:p>
      <w:pPr>
        <w:pStyle w:val="Heading2"/>
      </w:pPr>
      <w:r>
        <w:t>Regeste</w:t>
      </w:r>
    </w:p>
    <w:p>
      <w:r>
        <w:t>Klage vom 15. April 2020</w:t>
      </w:r>
    </w:p>
    <w:p>
      <w:pPr>
        <w:pStyle w:val="Heading2"/>
      </w:pPr>
      <w:r>
        <w:t>Erwägungen</w:t>
      </w:r>
    </w:p>
    <w:p>
      <w:r>
        <w:rPr>
          <w:b/>
        </w:rPr>
        <w:t>E. 1.1</w:t>
      </w:r>
    </w:p>
    <w:p>
      <w:r>
        <w:t>Das Verwaltungsgericht des Kantons Bern ist als einzige kantona- le Instanz sachlich und funktionell zuständig zur Beurteilung der mit Klage vom 15. April 2020 geltend gemachten Ansprüche (Art. 73 Abs. 1 des Bun- desgesetzes vom 25. Juni 1982 über die berufliche Alters-, Hinterlassenen- und Invalidenvorsorge [BVG; SR 831.40] i.V.m. Art. 87 lit. c des kantonalen Gesetzes vom 23. Mai 1989 über die Verwaltungsrechtspflege [VRPG; BSG 155.21] und Art. 54 Abs. 1 lit. a des kantonalen Gesetzes vom 11. Ju- ni 2009 über die Organisation der Gerichtsbehörden und der Staatsanwalt-</w:t>
      </w:r>
    </w:p>
    <w:p>
      <w:r>
        <w:t>Urteil des Verwaltungsgerichts des Kantons Bern vom 13. Jan. 2021, BV/20/282, Seite 5 schaft [GSOG; BSG 161.1]). Gerichtsstand ist nach Art. 73 Abs. 3 BVG der schweizerische Sitz oder Wohnsitz des Beklagten oder der Ort des Betrie- bes, bei dem die versicherte Person angestellt wurde. Dabei kommt es für den Wahlgerichtsstand nicht darauf an, ob die Vorsorgeeinrichtung, der Arbeitgeber oder die versicherte Person klagende Partei ist (SVR 2006 BVG Nr. 17 S. 62 E. 2.3). Die Beklagte hat Sitz im Kanton Bern (act. I 2), womit das angerufene Gericht zur Behandlung der Klage örtlich zuständig ist. Auch die übrigen Prozessvoraussetzungen sind erfüllt, insbesondere ist die Klage formgerecht eingelangt (Art. 32 VRPG). Auf die Klage ist somit einzutreten.</w:t>
      </w:r>
    </w:p>
    <w:p>
      <w:r>
        <w:rPr>
          <w:b/>
        </w:rPr>
        <w:t>E. 1.2</w:t>
      </w:r>
    </w:p>
    <w:p>
      <w:r>
        <w:t>Streitig und zu prüfen ist die Leistungspflicht der Beklagten für BVG-Rentenleistungen zugunsten des Beigeladenen sowie der Regres- sanspruch der Klägerin gegen die Beklagte im Umfang der erbrachten Vor- leistungen im Betrag von Fr. 50'592.-- (zuzüglich der bis zum Eintritt der Rechtskraft dieses Urteils angefallenen Vorleistungen).</w:t>
      </w:r>
    </w:p>
    <w:p>
      <w:r>
        <w:rPr>
          <w:b/>
        </w:rPr>
        <w:t>E. 1.3</w:t>
      </w:r>
    </w:p>
    <w:p>
      <w:r>
        <w:t>Die Abteilungen urteilen gewöhnlich in einer Kammer bestehend aus drei Richterinnen oder Richtern (Art. 56 Abs. 1 GSOG).</w:t>
      </w:r>
    </w:p>
    <w:p>
      <w:r>
        <w:rPr>
          <w:b/>
        </w:rPr>
        <w:t>E. 1.4</w:t>
      </w:r>
    </w:p>
    <w:p>
      <w:r>
        <w:t>Nach Art. 73 Abs. 2 BVG sehen die Kantone ein einfaches, rasches und in der Regel kostenloses Verfahren vor, wobei der Richter den Sachverhalt von Amtes wegen festzustellen hat. Innerhalb des Streitge- genstandes ist das Berufsvorsorgegericht in Durchbrechung der Dispositi- onsmaxime an die Begehren der Parteien nicht gebunden (BGE 135 V 26 E. 3.1 mit Hinweisen, Art. 92 Abs. 3 VRPG).</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2.2</w:t>
      </w:r>
    </w:p>
    <w:p>
      <w:r>
        <w:t>Das BVG definiert den Begriff der Invalidität nicht, sondern verweist auf die Invalidenversicherung (vgl. Art. 23 lit. a BVG und Art. 4 der Verord-</w:t>
      </w:r>
    </w:p>
    <w:p>
      <w:r>
        <w:t>Urteil des Verwaltungsgerichts des Kantons Bern vom 13. Jan. 2021, BV/20/282, Seite 6 nung vom 18. April 1984 über die berufliche Alters-, Hinterlassenen- und Invalidenvorsorge [BVV 2; SR 831.441.1]). Aus der engen Verbindung zwi- schen dem Recht auf eine Rente der Invalidenversicherung und demjeni- gen auf Invalidenleistungen nach BVG ergibt sich, dass der Invaliditätsbegriff im obligatorischen Bereich der beruflichen Vorsorge und in der Invalidenversicherung grundsätzlich der gleiche ist (BGE 120 V 106 E. 3c S. 108). Nach der Rechtsprechung sind Vorsorgeeinrichtungen, die ausdrücklich oder unter Hinweis auf das Gesetz vom gleichen Invaliditätsbegriff wie die Invalidenversicherung ausgehen, an die Invaliditätsbemessung der IV- Stelle oder – im Beschwerdefall – des kantonalen Sozialversicherungsge- richts resp. des Bundesgerichts gebunden, sofern sie in das invalidenversicherungsrechtliche Verfahren einbezogen wurden, die kon- krete Fragestellung für die Beurteilung des Rentenanspruchs gegenüber der Invalidenversicherung entscheidend war und die invalidenversiche- rungsrechtliche Betrachtungsweise aufgrund einer gesamthaften Prüfung der Akten nicht als offensichtlich unhaltbar erscheint. Diese Bindungswir- kung findet ihre positivrechtliche Grundlage in den Art. 23, 24 Abs. 1 und 26 Abs. 1 BVG, welche an die Regelung des Bundesgesetzes vom 19. Juni 1959 über die Invalidenversicherung (IVG; SR 831.20) anknüpfen oder diese übernehmen (BGE 143 V 434 E. 2.2 S. 437).</w:t>
      </w:r>
    </w:p>
    <w:p>
      <w:r>
        <w:rPr>
          <w:b/>
        </w:rPr>
        <w:t>E. 2.3</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w:t>
      </w:r>
    </w:p>
    <w:p>
      <w:r>
        <w:t>Urteil des Verwaltungsgerichts des Kantons Bern vom 13. Jan. 2021, BV/20/282, Seite 7 (Art. 26 Abs. 3 BVG [Umkehrschluss]; BGE 136 V 65 E. 3.1 S. 68; SVR 2020 BVG Nr. 6 S. 26 E. 3.1). Der Bestimmung von Art. 23 BVG kommt auch die Funktion zu, die Haftung mehrerer Vorsorgeeinrichtungen gegeneinander abzugrenzen, wenn eine in ihrer Arbeitsfähigkeit bereits beeinträchtigte versicherte Person ihre Ar- beitsstelle (und damit auch die Vorsorgeeinrichtung) wechselt. Der An- spruch auf Invalidenleistungen nach Art. 23 BVG entsteht in diesem Fall nicht gegenüber der neuen Vorsorgeeinrichtung, sondern gegenüber derje- nigen, welcher die Person im Zeitpunkt des Eintritts der invalidisierenden Arbeitsunfähigkeit angehört hatte (BGE 130 V 270 E. 4.1 S. 275; SVR 2018 BVG Nr. 37 S. 138 E. 2.1.3).</w:t>
      </w:r>
    </w:p>
    <w:p>
      <w:r>
        <w:rPr>
          <w:b/>
        </w:rPr>
        <w:t>E. 2.4</w:t>
      </w:r>
    </w:p>
    <w:p>
      <w:r>
        <w:t>Unter Arbeitsunfähigkeit ist eine erhebliche und dauerhafte Einbus- se an funktionellem Leistungsvermögen im bisherigen Beruf oder Aufga- benbereich zu verstehen (BGE 134 V 20 E. 3.2.2 S. 23). Sie muss mindestens 20 % betragen (BGE 144 V 58 E. 4.4 S. 62; SVR 2020 BVG Nr. 6 S. 27 E. 3.2). Ob eine Person trotz Lohnzahlung tatsächlich erheblich arbeitsunfähig war, ob sie also im Rahmen eines Arbeitsverhältnisses – im Hinblick auf den angestammten Tätigkeitsbereich – ihre übliche oder aber nunmehr eine behinderungsbedingt eingeschränkte Leistung erbrachte, ist von Amtes wegen mit aller Sorgfalt zu prüfen. Rechtsprechungsgemäss ist erforderlich, dass sich die behauptete Arbeitsunfähigkeit im Arbeitsverhält- nis, das über die Vorsorgepflicht den Versicherungsschutz begründet, kon- kret nachteilig bemerkbar gemacht hat, so etwa durch einen Abfall der Leistungen mit entsprechender Feststellung oder gar Ermahnung des Ar- beitgebers oder durch gehäufte, aus dem Rahmen fallende gesundheitlich bedingte Arbeitsausfälle. Nur beim Vorliegen besonderer Umstände darf die Möglichkeit einer von der arbeitsrechtlich zu Tage tretenden Situation in Wirklichkeit abweichenden Lage – etwa in dem Sinne, dass ein Arbeitneh- mer zwar zur Erbringung einer vollen Arbeitsleistung verpflichtet war und auch entsprechend entlöhnt wurde, tatsächlich aber eben doch keine volle Arbeitsleistung hat erbringen können – in Betracht gezogen werden (SVR 2008 IV Nr. 11 S. 33 E. 5.1, 2005 BVG Nr. 5 S. 15 E. 2.2). Die Leistungs- einbusse muss in aller Regel dem seinerzeitigen Arbeitgeber aufgefallen sein. Eine erst nach Jahren rückwirkend festgestellte medizinisch-</w:t>
      </w:r>
    </w:p>
    <w:p>
      <w:r>
        <w:t>Urteil des Verwaltungsgerichts des Kantons Bern vom 13. Jan. 2021, BV/20/282, Seite 8 theoretische Arbeitsunfähigkeit genügt nicht. Umgekehrt ist eine in der be- 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 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(SVR 2020 BVG Nr. 6 S. 27 E. 3.2, 2014 BVG Nr. 6 S. 19 E. 4.2).</w:t>
      </w:r>
    </w:p>
    <w:p>
      <w:r>
        <w:rPr>
          <w:b/>
        </w:rPr>
        <w:t>E. 2.5</w:t>
      </w:r>
    </w:p>
    <w:p>
      <w:r>
        <w:t>Der Anspruch auf Invalidenleistungen der (obligatorischen) berufli- chen Vorsorge setzt einen engen sachlichen und zeitlichen Zusammen- hang zwischen der während der Dauer des Vorsorgeverhältnisses (einschliesslich der Nachdeckungsfrist nach Art. 10 Abs. 3 BVG) bestande- nen Arbeitsunfähigkeit und der allenfalls erst später eingetretenen Invali- dität voraus. Der sachliche Konnex ist gegeben, wenn der Gesundheits- schaden, der zur Arbeitsunfähigkeit geführt hat, von der Art her im Wesentlichen derselbe ist wie derjenige, der der Erwerbsunfähigkeit zu Grunde liegt. Nicht erforderlich ist ein adäquater Kausalzusammenhang; eine Wechselwirkung im Sinne natürlicher Kausalität genügt (BGE 134 V 20 E. 3.2 S. 22; SVR 2020 BVG Nr. 17 S. 76 E. 2.2.2, 2001 BVG Nr. 18 S. 70 E. 5b). Die Annahme eines engen zeitlichen Zusammenhangs setzt voraus, dass die versicherte Person nach Eintritt der Arbeitsunfähigkeit, deren Ursache zur Invalidität geführt hat, nicht während längerer Zeit wie- der arbeitsfähig war. Bei der Prüfung dieser Frage sind die gesamten Um- stände des konkreten Einzelfalles zu berücksichtigen, namentlich die Art des Gesundheitsschadens, dessen prognostische Beurteilung durch den Arzt sowie die Beweggründe, welche die versicherte Person zur Wieder- aufnahme oder Nichtwiederaufnahme der Arbeit veranlasst haben. Zu den für die Beurteilung des zeitlichen Konnexes relevanten Umständen zählen auch die in der Arbeitswelt nach aussen in Erscheinung tretenden Verhält- nisse, wie etwa die Tatsache, dass eine voll vermittlungsfähige, Stellen suchende Person über längere Zeit hinweg Taggelder der Arbeitslosenver-</w:t>
      </w:r>
    </w:p>
    <w:p>
      <w:r>
        <w:t>Urteil des Verwaltungsgerichts des Kantons Bern vom 13. Jan. 2021, BV/20/282, Seite 9 sicherung bezieht. Allerdings kann solchen Zeiten nicht die gleiche Bedeu- tung beigemessen werden wie Zeiten effektiver Erwerbstätigkeit. So schliesst namentlich die Vermittlungsfähigkeit im arbeitslosenversiche- rungsrechtlichen Sinne das Vorliegen einer berufsvorsorgerechtlich rele- vanten Arbeitsunfähigkeit nicht per se aus (BGE 134 V 20 E. 3.2.1 S. 22; SVR 2020 BVG Nr. 17 S. 76 E. 2.2.2, 2019 BVG Nr. 30 S. 118 E. 2.2). Der zeitliche Konnex zwischen der während des Vorsorgeverhältnisses eingetretenen Arbeitsunfähigkeit und der späteren Invalidität wird unterbro- chen, wenn während mehr als drei Monaten eine Arbeitsfähigkeit von über 80 % in einer angepassten Erwerbstätigkeit gegeben ist; eine Arbeitsfähig- keit von 80 % genügt nicht (BGE 144 V 58; SVR 2020 BVG Nr. 17 S. 76 E. 2.2.2, 2018 BVG Nr. 37 S. 138 E. 2.1.2). Anders verhält es sich, wenn die fragliche, allenfalls mehr als dreimonatige Tätigkeit (allenfalls auch erst im Rückblick) als Eingliederungsversuch zu werten ist oder massgeblich auf sozialen Erwägungen des Arbeitgebers beruhte und eine dauerhafte Wiedereingliederung unwahrscheinlich war (BGE 134 V 20 E. 3.2.1 S. 22; SVR 2014 BVG Nr. 36 S. 135 E. 1.2.2). Eine zuverlässige Einschätzung des zeitlichen Zusammenhangs ist nur möglich, wenn die Entwicklung gesamthaft betrachtet wird. Die Frage, ob eine nachhaltige Wiederherstellung der Arbeitsfähigkeit möglich war, ist somit auch im Lichte von erst später gewonnenen Erkenntnissen zu beur- teilen (SVR 2014 BVG Nr. 36 S. 136 E. 5.3).</w:t>
      </w:r>
    </w:p>
    <w:p>
      <w:r>
        <w:rPr>
          <w:b/>
        </w:rPr>
        <w:t>E. 2.6</w:t>
      </w:r>
    </w:p>
    <w:p>
      <w:r>
        <w:t>Bei Schubkrankheiten ist zu prüfen, ob eine länger als drei Monate dauernde, isoliert betrachtet unauffällige Phase von Erwerbstätigkeit tatsächlich mit der Perspektive einer dauerhaften Berufsausübung verbun- den war. Selbst eine länger dauernde Phase der Erwerbstätigkeit zeigt kei- ne gesundheitliche Erholung mit weitgehender Wiederherstellung des Leistungsvermögens an, wenn jegliche berufliche Belastung nach einer gewissen Zeit regelhaft zu schweren Krankheitssymptomen mit erheblicher Einschränkung der Arbeitsfähigkeit führt. Damit soll dem Umstand Rech- nung getragen werden, dass derartige Krankheitsbilder unterschiedliche Verläufe aufweisen. Dies stellt ein erhöhtes Risiko dar, dass die Krankheit sich erst zu einem Zeitpunkt invalidisierend manifestiert, in welchem eine Versicherungsdeckung fehlt, was unter dem Gesichtspunkt des (obligatori-</w:t>
      </w:r>
    </w:p>
    <w:p>
      <w:r>
        <w:t>Urteil des Verwaltungsgerichts des Kantons Bern vom 13. Jan. 2021, BV/20/282, Seite 10 schen) Versicherungsschutzes stossend sein kann. Daher kommt bei Schubkrankheiten den gesamten Umständen des Einzelfalls besondere Bedeutung zu (SVR 2020 BVG Nr. 21 S. 93 E. 2.1.1).</w:t>
      </w:r>
    </w:p>
    <w:p>
      <w:r>
        <w:rPr>
          <w:b/>
        </w:rPr>
        <w:t>E. 2.7</w:t>
      </w:r>
    </w:p>
    <w:p>
      <w:r>
        <w:t>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(Art. 26 Abs. 4 BVG).</w:t>
      </w:r>
    </w:p>
    <w:p>
      <w:r>
        <w:rPr>
          <w:b/>
        </w:rPr>
        <w:t>E. 3</w:t>
      </w:r>
    </w:p>
    <w:p>
      <w:r>
        <w:t>September 2020, 9C_615/2019 [zur Publikation vorgesehen], E. 3.2.1).</w:t>
      </w:r>
    </w:p>
    <w:p>
      <w:r>
        <w:rPr>
          <w:b/>
        </w:rPr>
        <w:t>E. 3.1</w:t>
      </w:r>
    </w:p>
    <w:p>
      <w:r>
        <w:t>Die von Amtes wegen (vgl. BGE 118 Ia 129 E. 1 S. 130) zu prüfende Frage, ob eine Partei als Klägerin aufzutreten berechtigt (Aktivlegitimation) und welche Partei einzuklagen ist (Passivlegitimation), bestimmt sich – auch im öffentlich-rechtlichen Klageverfahren – nach dem materiellen Recht. Grundsätzlich ist der Träger des fraglichen Rechts aktivlegitimiert, passivlegitimiert der materiell Verpflichtete, gegen den sich das Recht richtet (vgl. SVR 2006 BVG Nr. 11 S. 40 E. 3.2). Aktiv- und Passivlegitimation sind folglich nicht Bedingungen im Sinne von Prozessvoraussetzungen, von denen die Zulässigkeit der Klage abhängen würde; sie gehören vielmehr zur materiellen Begründetheit des Klagebegehrens, weshalb ihr Fehlen zur Abweisung und nicht zur Zurückweisung der – bzw. zum Nichteintreten auf die – Klage führt (vgl. BGE 107 II 82 E. 2a S. 85; SVR 2010 BVG Nr. 27 S. 108 E. 3.2.1; Entscheid des Bundesgerichts [BGer] vom</w:t>
      </w:r>
    </w:p>
    <w:p>
      <w:r>
        <w:rPr>
          <w:b/>
        </w:rPr>
        <w:t>E. 3.2</w:t>
      </w:r>
    </w:p>
    <w:p>
      <w:r>
        <w:t>Mit dem Rechtsbegehren Ziff. 2 beantragt die Klägerin, die Beklagte sei zu verpflichten, dem Beigeladenen eine Invalidenrente gemäss ihren reglementarischen Bestimmungen zu bezahlen. Mit dem Rechtsbegehren Ziff. 3 wird zudem beantragt, die Beklagte sei zur Rückzahlung der von der Klägerin geleisteten Vorleistungen im Zeitraum vom 1. August 2017 bis zum 31. März 2020 im Betrag von Fr. 50'592.-- (Monatsbetreffnis</w:t>
      </w:r>
    </w:p>
    <w:p>
      <w:r>
        <w:t>Urteil des Verwaltungsgerichts des Kantons Bern vom 13. Jan. 2021, BV/20/282, Seite 11 Fr. 1'581.--) zu verurteilen, zuzüglich der bis zum Eintritt der Rechtskraft des Urteils angefallenen Vorleistungen. Da die Klägerin hinsichtlich des Rentenanspruchs des Beigeladenen nicht Rechtsträgerin ist, mangelt es ihr diesbezüglich an der Aktivlegitimation. Folglich ist die Klage hinsichtlich des Rechtsbegehrens Ziff. 2 abzuweisen. In Bezug auf die Rückforderung der erbrachten Vorleistungen gemäss Rechtsbegehren Ziff. 3 ist die Aktivlegitimation der Klägerin hingegen zu bejahen, da die Vorsorgeeinrichtung, welche Vorleistungen erbracht hat, unmittelbar von Gesetzes wegen (Art. 26 Abs. 4 Satz 2 BVG) in diesem Umfang einen Regressanspruch gegen die leistungspflichtige Vorsorgeein- richtung geltend machen kann (BGE 136 V 131 E. 3.6 S. 140). Um beant- worten zu können, ob die von der Klägerin geltend gemachte Regressforderung begründet ist, ist folglich als Vorfrage zu klären, ob die Beklagte gemäss Art. 26 Abs. 4 BVG effektiv leistungspflichtig ist (vgl. SVR 2015 BVG Nr. 55 S. 235 E. 3.4)</w:t>
      </w:r>
    </w:p>
    <w:p>
      <w:r>
        <w:rPr>
          <w:b/>
        </w:rPr>
        <w:t>E. 3.3</w:t>
      </w:r>
    </w:p>
    <w:p>
      <w:r>
        <w:t>Unbestritten ist, dass der Beigeladene an einer paranoiden Schizo- phrenie leidet, welche 2002 erstmals diagnostiziert wurde (act. III 7/7 f., 16) und aufgrund derer er Versicherungsleistungen (Berufsunfähigkeitspensi- on) der K.________ bezieht (act. I 3 f.). Vom 1. Juli 2014 bis 28. Februar 2015 war er bei der F.________ AG bzw. der G.________ AG angestellt und damit bei der Beklagten für die berufliche Vorsorge versichert (act. I 5, 12). Anschliessend hatte er vom 1. März bis 30. Juni 2015 eine befristete Anstellung bei der H.________ AG und war bei der I.________ versichert (act. III 100, 123; Stellungnahme des Beigeladenen, S. 3 Ziff. 3).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