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165 vom 27. April 2021</w:t>
      </w:r>
    </w:p>
    <w:p>
      <w:r>
        <w:t>BE Verwaltungsgericht, 2021-04-27, DE</w:t>
      </w:r>
    </w:p>
    <w:p>
      <w:r>
        <w:rPr>
          <w:b/>
        </w:rPr>
        <w:t xml:space="preserve">Quelle: </w:t>
      </w:r>
      <w:r>
        <w:t>https://mcp.opencaselaw.ch/entscheid/be_verwaltungsgericht_200_2020_165</w:t>
      </w:r>
    </w:p>
    <w:p>
      <w:r>
        <w:t>FR: BE_VERWALTUNGSGERICHT 200 2020 165 du 27 avril 2021</w:t>
      </w:r>
    </w:p>
    <w:p>
      <w:r>
        <w:t>IT: BE_VERWALTUNGSGERICHT 200 2020 165 del 27 aprile 2021</w:t>
      </w:r>
    </w:p>
    <w:p>
      <w:pPr>
        <w:pStyle w:val="Heading2"/>
      </w:pPr>
      <w:r>
        <w:t>Regeste</w:t>
      </w:r>
    </w:p>
    <w:p>
      <w:r>
        <w:t>Einspracheentscheid vom 24.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24. Januar 2020 (act. II 90). Streitig und zu prüfen ist die Leistungspflicht der Be- schwerdegegnerin für den Unfall vom 10. Juni 2018 und dabei insbesonde- re, ob für den Beschwerdeführer zu jenem Zeitpunkt eine Versicherungs- deckung bei der Beschwerdegegnerin bestand.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1a Abs. 1 UVG sind u.a. die in der Schweiz beschäf- tigten Arbeitnehmer obligatorisch nach den Bestimmungen des UVG versi- chert. Als Arbeitnehmer nach Art. 1a Abs. 1 UVG gilt, wer eine unselbstständige Erwerbstätigkeit im Sinne der Bundesgesetzgebung über die Alters- und Hinterlassenenversicherung (AHV) ausübt (Art. 1 der Verordnung vom 20. Dezember 1982 über die Unfallversicherung [UVV; SR 832.202]). 2.2 Das UVG umschreibt den Begriff des Arbeitnehmers, an den es für die Unterstellung unter die obligatorische Versicherung anknüpft, nicht. Die Rechtsprechung hat im Sinne leitender Grundsätze als Arbeitnehmer gemäss UVG bezeichnet, wer um des Erwerbes oder der Ausbildung willen für einen Arbeitgeber, mehr oder weniger untergeordnet, dauernd oder vor- übergehend tätig ist, ohne hiebei ein eigenes wirtschaftliches Risiko tragen</w:t>
      </w:r>
    </w:p>
    <w:p>
      <w:r>
        <w:t>Urteil des Verwaltungsgerichts des Kantons Bern vom 27. April 2021, UV/20/165, Seite 5 zu müssen. Aus diesen Grundsätzen allein lassen sich indessen noch kei- ne einheitlichen, schematisch anwendbaren Lösungen ableiten. Die Arbeit- nehmereigenschaft ist daher jeweils unter Würdigung der gesamten Um- stände des Einzelfalls zu beurteilen (vgl. BGE 141 V 313 E. 2 S. 314; SVR 2020 UV Nr. 22 S. 86 E. 2.3 und 2.4, 2015 UV Nr. 7 S. 28 E. 7). 2.3 Der Versicherungsträger prüft die Begehren, nimmt die notwendi- gen Abklärungen von Amtes wegen vor und holt die erforderlichen Aus- künfte ein (Art. 43 Abs. 1 ATSG). Der Untersuchungsgrundsatz besagt, dass die verfügende Instanz den rechtserheblichen Sachverhalt von Amtes wegen, aus eigener Initiative und ohne Bindung an die Vorbringen oder Beweisanträge der Parteien, abklären und feststellen muss. Rechtserheb- lich sind alle Tatsachen, von deren Vorliegen es abhängt, ob über den streitigen Anspruch so oder anders zu entscheiden ist. In diesem Rahmen haben Verwaltungsbehörden zusätzliche Abklärungen stets vorzunehmen oder zu veranlassen, wenn hiezu aufgrund der Parteivorbringen oder ande- rer sich aus den Akten ergebenden Anhaltspunkte hinreichender Anlass besteht (BGE 117 V 282 E. 4a S. 283). Der Untersuchungsgrundsatz gilt indessen nicht uneingeschränkt; er findet sein Korrelat in den Mitwirkungs- pflichten der Parteien (BGE 125 V 193 E. 2 S. 195, 122 V 157 E. 1a S. 158; SVR 2009 IV Nr. 4 S. 7 E. 4.2.2). 3. 3.1 Die Beschwerdegegnerin gelangte nach Prüfung der vom Be- schwerdeführer im Verwaltungsverfahren bzw. im Einspracheverfahren eingereichten Unterlagen zum Schluss, gestützt darauf sei das Bestehen eines Anstellungsverhältnisses zwischen dem Beschwerdeführer und der C.________ GmbH ... zum Zeitpunkt des Unfalles vom 10. Juni 2018 nicht überwiegend wahrscheinlich (vgl. act. II 90 S. 3 Ziff. 3). Sie erachtete die vom Beschwerdeführer angerufenen Beweismittel als nicht plausibel resp. widersprüchlich (act. II 55 S. 1, 90 S. 3) und listete die von ihr festgestellten Widersprüchlichkeiten insbesondere bezüglich des Arbeitsvertrages (act. II 20 S. 1), der Lohnabrechnungen (act. II 20 S. 2 ff.) und der Stundenrappor- te (act. II 20 S. 10 ff., 21 S. 3, 36 S. 1 f., 53 S. 3 ff.) in der Verfügung vom</w:t>
      </w:r>
    </w:p>
    <w:p>
      <w:r>
        <w:t>Urteil des Verwaltungsgerichts des Kantons Bern vom 27. April 2021, UV/20/165, Seite 6</w:t>
      </w:r>
    </w:p>
    <w:p>
      <w:r>
        <w:rPr>
          <w:b/>
        </w:rPr>
        <w:t>E. 6</w:t>
      </w:r>
    </w:p>
    <w:p>
      <w:r>
        <w:t>Oktober 2000 über den Allgemeinen Teil des Sozialversicherungsrechts (ATSG; SR 830.1) i.V.m. Art. 54 Abs. 1 lit. a des kantonalen Gesetzes vom</w:t>
      </w:r>
    </w:p>
    <w:p>
      <w:r>
        <w:rPr>
          <w:b/>
        </w:rPr>
        <w:t>E. 11</w:t>
      </w:r>
    </w:p>
    <w:p>
      <w:r>
        <w:t>Dezember 2018 (act. II 55) detailliert auf, worauf sie im hier angefoch- tenen Entscheid verwies (act. II 90 S. 3 Ziff. 2). 3.2 Es ist festzustellen, dass es sich bei der sich zwischenzeitlich in Liquidation befindenden C.________ GmbH ... um einen Familienbetrieb handelte. Das Unternehmen wurde am 25. Februar 2015 ins Handelsregis- ter eingetragen (SHAB Nr. 41 vom 2. März 2015). Als Gesellschafterin und Geschäftsführerin mit Einzelunterschrift figurierte D.________, die Ehefrau des Beschwerdeführers (vgl. act. II 54 S. 16, Beschwerde, S. 8 oben). Laut Angaben des Beschwerdeführers gegenüber der Beschwerdegegnerin gehörte das Unternehmen seinem Sohn (act. II 38 S. 2) bzw. ist dieser ebenfalls für das Unternehmen tätig gewesen (Beschwerde, S. 8 oben). Der Beschwerdeführer verweist als Beweis für das Arbeitsverhältnis zwi- schen ihm und der C.________ GmbH ... zunächst auf den Arbeitsvertrag vom 30. März 2018 (act. II 20 S. 1) und auf den Entscheid des Bundesge- richts vom 5. März 2018, 8C_473/2018, E. 5.4.1, wonach bei Vorliegen eines Arbeitsvertrages gemäss Art. 319 ff. des Schweizerischen Obligatio- nenrechts (OR; SR 220) zwischen Arbeitnehmer und Arbeitgeber kaum je Zweifel bestehe, dass es sich um einen Arbeitnehmer gemäss UVG handle (Beschwerde, S. 6 Ziff. 1). Das Bundesgericht führte im zitierten Entscheid in der genannten Erwä- gung aus, gingen die Parteien des Vertrages übereinstimmend von einem Arbeitsvertrag aus, rechtfertige es sich mit Blick auf den Schutzcharakter des UVG nur ganz ausnahmsweise, namentlich wenn der Arbeitsvertrag erst nach dem Unfallereignis fingiert werde, die Arbeitnehmereigenschaft nach Art. 1a UVG zu verneinen. Aufgrund des Vergleichs der in den Akten dokumentierten Unterschriften ist zwar davon auszugehen, dass es sich bei der Unterschrift auf dem Arbeitsvertrag um die Unterschrift des Beschwer- deführers handelt (Vergleich mit Lohndeklaration 2017 vom 27. Mai 2018 [act. II 54 S. 2]), allerdings stimmt die Unterschrift auf dem Arbeitsvertrag exakt mit denjenigen auf den Lohnvorschuss-Quittungen vom 9., 18. und 23. April 2018 sowie vom 9., 15. und 23. Mai 2018 (act. II 20 S. 3-5, 7-9) angebrachten Unterschriften überein. Bei den Unterschriften auf den insge- samt sieben Dokumenten handelt es sich offensichtlich um Kopien. Die genauen Umstände der Erstellung dieser Dokumente und insbesondere</w:t>
      </w:r>
    </w:p>
    <w:p>
      <w:r>
        <w:t>Urteil des Verwaltungsgerichts des Kantons Bern vom 27. April 2021, UV/20/165, Seite 7 des Anbringens der Unterschriften können offen bleiben, da bereits alleine aufgrund der Tatsache der übereinstimmenden Unterschriften erhebliche Zweifel an der Echtzeitlichkeit des Arbeitsvertrages vom 30. März 2018 bestehen und mit Blick auf die weiteren Umstände (vgl. die nachfolgenden Erwägungen) mit überwiegender Wahrscheinlichkeit (BGE 144 V 427 E. 3.2 S. 429) von einem fingierten Arbeitsvertrag auszugehen ist. 3.3 Den Lohnvorschuss-Quittungen vom 9., 18. und 23. April 2018 sowie vom 9., 15. und 23. Mai 2018 (act. II 20 S. 3-5, 7-9) kommt bereits aufgrund des hiervor dargestellten Umstandes, dass sie alle die exakt glei- che Unterschrift aufweisen, kein Beweiswert zu, womit sie keinen Lohnfluss zwischen der C.________ GmbH ... und dem Beschwerdeführer zu bewei- sen vermögen. Darüber hinaus ist auch nicht glaubwürdig, dass bereit im Verlauf der Monate April und Mai bekannt gewesen sein soll, dass der an- geblich im Stundenlohn angestellte Beschwerdeführer Ende Monat jeweils exakt 120 Stunden Arbeit verrichtet haben wird. Für diese Stundenanzahl hat er jeweils Lohnvorschüsse erhalten (act. II 20 S. 2 und 6, Beschwerde S. 6 Ziff. 2). Daran ändert der Hinweis auf das – nicht datierte – Reglement der C.________ GmbH ... (act. II 36 S. 4) nichts, wonach Überstunden nicht in bar ausbezahlt, sondern mit Freitagen kompensiert würden, nichts. Selbst wenn – wofür es in den Akten keinen Beleg gibt – sich die Arbeitge- berin und der Beschwerdeführer darauf geeinigt hätten, dass der Be- schwerdeführer jeweils maximal 120 Stunden pro Monat arbeiten darf, dürf- te jeweils nicht vor Monatsende bekannt gewesen sein, ob der Beschwer- deführer diese Anzahl Stunden erreichen würde. Bezüglich der geltend gemachten Arbeitsstunden ist darüber hinaus auf die von der Beschwerde- gegnerin aufgezeigten Widersprüche und nachträglichen Korrekturen in den eingereichten Stundenrapporten zu verweisen (vgl. act. II 55 S. 2), welche der Glaubwürdigkeit des Beschwerdeführers hinsichtlich des gel- tend gemachten Lohnflusses ebenfalls abträglich sind. 3.4 Nichts zu seinen Gunsten ableiten kann der Beschwerdeführer aus der mit der Replik vom 30. April 2020 eingereichten, unvollständig ausge- füllten, weder datierten noch unterschriebenen Lohndeklaration pro 2018 gegenüber der Ausgleichskasse E.________ (Akten des Beschwerdefüh- rers [act. I] 8). Da dieses Dokument jedenfalls erst nach dem Unfall vom</w:t>
      </w:r>
    </w:p>
    <w:p>
      <w:r>
        <w:t>Urteil des Verwaltungsgerichts des Kantons Bern vom 27. April 2021, UV/20/165, Seite 8 10. Juni 2018 erstellt wurde, können daraus keine Rückschlüsse bezüglich der hier streitigen Frage des Vorliegens eines Arbeitsverhältnisses mit der C.________ GmbH ... zu jenem Zeitpunkt gezogen werden. Dasselbe gilt für die Lohndeklaration pro 2018 gegenüber der Beschwerdegegnerin (act. I 9), für die Steuererklärung 2018 (act. I 10) sowie für die nicht datierte An- meldung des Beschwerdeführers bei der Swiss Life AG zur beruflichen Vorsorge (act. II 21 S. 2); dieses Formular ist augenscheinlich erst am 27. Juni 2018 generiert worden. 3.5 Schliesslich ist die unter Hinweis auf einen Auszug aus dem Fra- gebogen betreffend Rentenrevision (act. I 7) aufgestellte Behauptung, der Beschwerdeführer habe der Beschwerdegegnerin bereits Wochen vor sei- nem Unfall mitgeteilt, dass er ab dem 1. April 2018 mit der C.________ GmbH eine Anstellung eingehen werde (Replik, S. 1), aktenwidrig: Der ausgefüllte, jedoch nicht datierte Revisionsfragebogen wurde der Be- schwerdegegnerin vom Sohn des Beschwerdeführers erst am 12. Juli 2018 per E-Mail zugestellt (act. II 189). Der entsprechenden E-Mail angehängt waren zwei Lohnabrechnungen vom April 2018 und Mai 2018 (act. II 187, 190), auf welche auf – der mit der Replik vom 30. April 2020 nicht einge- reichten (vgl. act. I 7) – Seite 3 des Revisionsfragebogens (act. IIA 188 S. 2) unter der Rubrik "Beilagen" hingewiesen wurde. Mit dem auf dem Re- visionsformular enthaltenen Hinweis auf die vom 30. April bzw. 31. Mai 2018 datierenden Lohnabrechnungen ist der Behauptung, dieses Formular sei der Beschwerdegegnerin vor April 2018 zugestellt worden, der Boden entzogen. 3.6 Nach dem Dargelegten vermögen die vom Beschwerdeführer vor- getragenen Argumente die aufgrund der gesamten Umstände (vgl. E. 2.2 hiervor) gezogenen Schlussfolgerungen der Beschwerdegegnerin nicht zu widerlegen. Demnach ist mit überwiegender Wahrscheinlichkeit erstellt, dass der Beschwerdeführer zum Zeitpunkt des Unfalls vom 10. Juni 2018 in keinem Anstellungsverhältnis mit der C.________ GmbH ... stand und dementsprechend nicht über diese Arbeitgeberin bei der Beschwerdegeg- nerin versichert war.</w:t>
      </w:r>
    </w:p>
    <w:p>
      <w:r>
        <w:t>Urteil des Verwaltungsgerichts des Kantons Bern vom 27. April 2021, UV/20/165, Seite 9 4. Zu prüfen bleibt, ob der Beschwerdeführer allenfalls über die F.________ GmbH (zwischenzeitlich im Handelsregister gelöscht) Versicherungsschutz bei der Beschwerdegegnerin für den Unfall vom 10. Juni 2018 geniesst. 4.1 Die Unternehmung F.________ GmbH wurde am 10. April 2017 ins Handelsregister eintragen (SHAB Nr. 73 vom 13. April 2017). Der Be- schwerdeführer war von Anfang an bis zum 10. August 2018 Gesellschafter und Geschäftsführer mit Einzelunterschrift (vgl. SHAB Nr. 156 vom 15. Au- gust 2018). Per 1. April 2017 nahm die Ausgleichskasse des Kantons E.________ eine Zwangserfassung der F.________ GmbH als Arbeitgebe- rin vor (Schreiben vom 7. Juli 2017 [act. II 54 S. 5]). Mit Schreiben vom 28. September 2017 (act. II 54 S. 14 f.) forderte die Beschwerdegegnerin die Gesellschaft auf, ihre Geschäftstätigkeit mittels geeigneter Unterlagen (Werkverträge, Kundenlisten, Bankbelege etc.) nachzuweisen und teilte mit, dass sie ohne vollständigen Nachweis der Geschäftstätigkeit keinen Versicherungsschutz gewähren könne. Nachdem die Gesellschaft dieser Aufforderung trotz Erinnerungsschreiben vom 7. Dezember 2017 nicht nachgekommen war, teilte die Beschwerdegegnerin ihr mit Schreiben vom 26. Januar 2018 (act. II 54 S. 13) mit, sie verzichte auf die Erfassung des Betriebs und damit auf die Gewährung des Unfallschutzes. Hierauf meldete sich der Beschwerdeführer am 1. Februar 2018 telefonisch bei der Be- schwerdegegnerin und teilte mit, er und seine Frau hätten am 15. Januar 2018 die Arbeit aufgenommen und die F.________ GmbH sei nun aktiv. Seine Ehefrau arbeite im Bereich … zu 100 %, und er führe …- und …ar- beiten in einem Pensum von 70 % durch. Es seien bereits Aufträge ausge- führt und Offerten erstellt worden. Er würde die benötigten Unterlagen zu- stellen (act. II 54 S. 11 f.). Die Beschwerdegegnerin räumte der F.________ GmbH daraufhin mit Hinweis auf die Säumnisfolgen eine wei- tere Frist ein, Unterlagen zur Prüfung der geschäftlichen Tätigkeit einzurei- chen (act. II 54 S. 9 f.). Auch diese Frist liess die F.________ GmbH bzw. der Beschwerdeführer als einzelzeichnungsberechtigter Geschäftsführer unbenutzt verstreichen, weshalb die Beschwerdegegnerin mit Schreiben vom 12. März 2018 (vgl. act. II 54 S. 3) wiederum mitteilte, sie verzichte</w:t>
      </w:r>
    </w:p>
    <w:p>
      <w:r>
        <w:t>Urteil des Verwaltungsgerichts des Kantons Bern vom 27. April 2021, UV/20/165, Seite 10 mangels Nachweises einer Geschäftstätigkeit auf die Erfassung des Be- triebs. 4.2 Gemäss Art. 28 Abs. 1 ATSG haben die Versicherten und ihre Arbeitgeber beim Vollzug der Sozialversicherungsgesetze unentgeltlich mitzuwirken. Indem sie der Beschwerdegegnerin, wie vorstehend darge- stellt (vgl. E. 4.1), die notwendigen Unterlagen (Werkverträge, Kundenlis- ten, Bankbelege etc.) zum Nachweis der behaupteten Aufnahme der Ge- schäftstätigkeit trotz mehrfacher Aufforderung und Androhung der Nichtge- währung des Versicherungsschutzes (act. II 54 S. 9 f., 14 f.) nicht zugestellt hat, ist die F.________ GmbH ihrer Mitwirkungspflicht nicht nachgekom- men. Insofern ist nicht zu beanstanden, dass die Beschwerdegegnerin auf- grund der Aktenlage (vgl. dazu Art. 43 Abs. 3 ATSG) davon ausgegangen ist, die F.________ GmbH habe keine Geschäftstätigkeit aufgenommen, und in der Konsequenz auf die Erfassung des Betriebs sowie die Ge- währung des Unfallschutzes verzichtet hat (vgl. act. II 54 S. 3 und 13). Hieran ändert nichts, dass der Beschwerdeführer als Geschäftsführer der F.________ GmbH gegenüber der Ausgleichskasse des Kantons E.________ in der Lohndeklaration pro 2017 vom 27. Mai 2018 angegeben hat, ab Februar 2018 würden für zwei Mitarbeiter Löhne in der Höhe von je ca. Fr. 4'800.-- ausbezahlt (act. II 54 S. 1). Einerseits sind entsprechende Lohnzahlungen nicht belegt worden und andererseits hat die Gesellschaft der Ausgleichskasse des Kantons E.________ in der Lohndeklaration pro 2018 (act. II 63 S. 1 ff.) mitgeteilt, im Jahr 2018 seien keine beitragspflichti- gen Löhne ausbezahlt worden. Eine Arbeitstätigkeit des Beschwerdefüh- rers für die F.________ GmbH ist damit weder für den Unfallzeitpunkt noch für den vorhergehenden Zeitraum nachgewiesen und der Beschwerdefüh- rer selbst hat eine solche auch fortlaufend in Abrede gestellt, womit er sich auch diesbezüglich nicht auf eine Versicherungsdeckung durch die Be- schwerdegegnerin berufen kann. 5. Auf die beschwerdeweise beantragten ergänzenden Sachverhaltsab- klärungen, insbesondere auf die Befragung der angerufenen Zeugen hin-</w:t>
      </w:r>
    </w:p>
    <w:p>
      <w:r>
        <w:t>Urteil des Verwaltungsgerichts des Kantons Bern vom 27. April 2021, UV/20/165, Seite 11 sichtlich der drei Bestätigungen vom 23. Januar 2019 (zwei davon fälschli- cherweise mit 23. Januar 2018 datiert [act. II 64 S. 1-3; act. I 4]) kann in antizipierter Beweiswürdigung (BGE 144 V 361 E. 6.5 S. 368, 124 V 90 E. 4b S. 94, 122 V 157 E. 1d S. 162; SVR 2019 IV Nr. 50 S. 163 E. 4) ver- zichtet werden. In den entsprechenden Bestätigungen haben die unterzeichneten Bauher- ren/Eigentümer angegeben, dass Herr D.________ von der C.________ GmbH bei der Renovierung bzw. Sanierung ihrer Häuser gearbeitet habe und sie ihn bei allen Visiten bzw. Sitzungen persönlich gesehen hätten. Es mag zwar zutreffen, dass die Zeugen den Beschwerdeführer auf den jewei- ligen Baustellen angetroffen haben und er dort gearbeitet hat. Von einer Befragung der Zeugen sind hinsichtlich der hier streitigen Frage nach der Versicherungsdeckung des Beschwerdeführers jedoch keine neuen Er- kenntnisse zu erwarten. Einerseits ist aufgrund des exakt gleichen Schrift- bildes und des praktisch gleichlautenden Inhalts der drei Bestätigungen vom 23. Januar 2018 bzw. 2019 mit überwiegender Wahrscheinlichkeit davon auszugehen, dass diese von derselben Person erstellt und den Zeu- gen lediglich zur Unterschrift vorgelegt worden sind. Andererseits dürfte für die Zeugen aufgrund der möglicherweise involvierten Unternehmen und der verwandtschaftlichen Verhältnisse ihrer Gesellschafter nicht durchschaubar gewesen sein, ob der Beschwerdeführer als Angestellter der C.________ GmbH ... oder in anderer Funktion auf den Baustellen gewesen ist. Unab- hängig davon, ob er auf den Baustellen bei der Arbeit angetroffen worden ist, konnte der Beschwerdeführer weder ein Arbeitsverhältnis mit der C.________ GmbH ... noch eine Erwerbstätigkeit mit der F.________ GmbH oder einem anderen Arbeitgeber nachweisen bzw. mit echtzeitlichen Unterlagen belegen. 6. Im Ergebnis steht damit fest, dass der Beschwerdeführer zum Zeitpunkt des Unfalles vom 10. Juni 2018 über keinen Versicherungsschutz bei der Beschwerdegegnerin verfügte und diese ihre Leistungspflicht zu Recht ver-</w:t>
      </w:r>
    </w:p>
    <w:p>
      <w:r>
        <w:t>Urteil des Verwaltungsgerichts des Kantons Bern vom 27. April 2021, UV/20/165, Seite 12 neinte. Die gegen den Einspracheentscheid vom 24. Januar 2020 (act. II 90) erhobene Beschwerde ist dementsprechend abzuweisen. 7. 7.1 In Anwendung von Art. 1 Abs. 1 UVG i.V.m. aArt. 61 lit. a ATSG in der bis 31. Dezember 2020 gültig gewesenen und hier anwendbaren Fas- sung (vgl. Art. 83 ATSG) sind keine Verfahrenskosten zu erheben. 7.2 Bei diesem Ausgang des Verfahrens hat der unterliegende Be- schwerdeführer keinen Anspruch auf eine Parteientschädigung (Umkehr- schluss aus Art. 1 Abs. 1 UVG i.V.m. Art. 61 lit. g ATSG). Demnach entscheidet das Verwaltungsgericht: 1. Die Beschwerde wird abgewiesen. 2. Es werden weder Verfahrenskosten erhoben noch wird eine Parteien- tschädigung zugesprochen. 3. Zu eröffnen (R): - Rechtsanwalt B.________ z.H. des Beschwerdeführers - Suva - Bundesamt für Gesundheit Die Kammerpräsidentin: Der Gerichtsschreiber:</w:t>
      </w:r>
    </w:p>
    <w:p>
      <w:r>
        <w:t>Urteil des Verwaltungsgerichts des Kantons Bern vom 27. April 2021, UV/20/165, Seite 13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