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896 vom 3. Februar 2020</w:t>
      </w:r>
    </w:p>
    <w:p>
      <w:r>
        <w:t>BE Verwaltungsgericht, 2020-02-03, DE</w:t>
      </w:r>
    </w:p>
    <w:p>
      <w:r>
        <w:rPr>
          <w:b/>
        </w:rPr>
        <w:t xml:space="preserve">Quelle: </w:t>
      </w:r>
      <w:r>
        <w:t>https://mcp.opencaselaw.ch/entscheid/be_verwaltungsgericht_200_2019_896</w:t>
      </w:r>
    </w:p>
    <w:p>
      <w:r>
        <w:t>FR: BE_VERWALTUNGSGERICHT 200 2019 896 du 3 février 2020</w:t>
      </w:r>
    </w:p>
    <w:p>
      <w:r>
        <w:t>IT: BE_VERWALTUNGSGERICHT 200 2019 896 del 3 febbraio 2020</w:t>
      </w:r>
    </w:p>
    <w:p>
      <w:pPr>
        <w:pStyle w:val="Heading2"/>
      </w:pPr>
      <w:r>
        <w:t>Regeste</w:t>
      </w:r>
    </w:p>
    <w:p>
      <w:r>
        <w:t>Einspracheentscheid vom 28.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28. Oktober 2019 (AB 76). Streitig und zu prüfen ist der Erlass der mit den Verfügungen vom 6. Dezember 2018 (AB 48-50) angeordneten Rückerstattung zu viel bezogener Ergänzungsleistungen im Umfang von Fr. 46‘477.-- (Fr. 1‘846.-- [betreffend die Zeit vom 1. Oktober bis 31. Dezember 2014 {AB 48/2}] +</w:t>
      </w:r>
    </w:p>
    <w:p>
      <w:r>
        <w:t>Urteil des Verwaltungsgerichts des Kantons Bern vom 3. Februar 2020, EL/19/896, Seite 4 Fr. 20‘199.-- [betreffend die Zeit vom 1. Januar 2015 bis 31. Dezember 2016 {AB 49/2}] + Fr. 24‘432.-- [betreffend die Zeit vom 1. Januar 2017 bis 31. August 2018 {AB 50/2}]).</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Gemäss Art. 4 Abs. 1 des Bundesgesetzes vom 19. März 1965 über Ergänzungsleistungen zur Alters-, Hinterlassenen- und Invalidenversiche- rung (ELG; SR 831.30) haben Personen mit Wohnsitz und gewöhnlichem Aufenthalt in der Schweiz Anspruch auf Ergänzungsleistungen, wenn sie eine Rente der AHV oder IV beziehen oder nach lit. b oder d der genannten Bestimmung Anspruch auf eine solche Rente hätten. Die Ergänzungsleis- tungen bestehen aus der jährlichen Ergänzungsleistung sowie der Ver- gütung von Krankheits- und Behinderungskosten (Art. 3 Abs. 1 ELG). Die jährliche Ergänzungsleistung entspricht dem Betrag, um den die anerkann- ten Ausgaben die anrechenbaren Einnahmen übersteigen (Art. 9 Abs. 1 ELG). 2.2 2.2.1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Gemäss Präzisierung in Art. 24 der Verordnung vom 15. Januar 1971 über die Ergänzungsleistungen zur Alters-, Hinterlassenen- und Inva- lidenversicherung (ELV; SR 831.301) hat ein Anspruchsberechtigter von</w:t>
      </w:r>
    </w:p>
    <w:p>
      <w:r>
        <w:t>Urteil des Verwaltungsgerichts des Kantons Bern vom 3. Februar 2020, EL/19/896, Seite 5 jeder Änderung der persönlichen und von jeder ins Gewicht fallenden Än- derung der wirtschaftlichen Verhältnisse der kantonalen Durchführungsstel- le unverzüglich Mitteilung zu machen. Diese Meldepflicht erstreckt sich auch auf Veränderungen, welche bei an der Ergänzungsleistung beteiligten Familienmitgliedern des Bezugsberechtigten eintreten. 2.2.2 Für den Tatbestand der Meldepflichtverletzung ist ein schuldhaftes Fehlverhalten erforderlich, wobei nach ständiger Rechtsprechung bereits eine leichte Fahrlässigkeit genügt (BGE 118 V 214 E. 2a S. 218; SVR 2012 IV Nr. 12 S. 62 E. 4.2.1). 2.3 Unrechtmässig bezogene Leistungen sind zurückzuerstatten. Wer Leistungen in gutem Glauben empfangen hat, muss sie nicht zurückerstat- ten, wenn eine grosse Härte vorliegt (Art. 25 Abs. 1 ATSG). 2.3.1 Wer einen Rechtsmangel kennt, gilt diesbezüglich nicht als gutgläu- big. Sodann darf sich derjenige nicht auf seinen guten Glauben berufen, dem der Mangel bei Anwendung zumutbarer Aufmerksamkeit erkennbar gewesen wäre. Dabei ist diejenige Aufmerksamkeit geboten, die nach den Umständen verlangt werden kann. Diese zivilrechtlichen Grundsätze gelten gleichermassen für den Bereich des Sozialversicherungsrechts (BGE 120 V 319 E. 10a S. 335). Nach ständiger Rechtsprechung ist der gute Glaube als Erlassvorausset- zung nicht schon mit der Unkenntnis des Rechtsmangels gegeben. Viel- mehr darf sich die Leistungsempfängerin oder der Leistungsempfänger nicht nur keiner böswilligen Absicht, sondern auch keiner groben Nachläs- sigkeit schuldig gemacht haben. Daraus erhellt einerseits, dass der gute Glaube von vornherein entfällt, wenn die zu Unrecht erfolgte Leistungsaus- richtung auf eine arglistige oder grobfahrlässige Melde- oder Auskunfts- pflichtverletzung zurückzuführen ist. Andererseits kann sich die rückerstat- tungspflichtige Person auf den guten Glauben berufen, wenn ihr feh- lerhaftes Verhalten nur eine leichte Fahrlässigkeit darstellt. Wie in anderen Bereichen beurteilt sich das Mass der erforderlichen Sorgfalt nach einem objektiven Massstab, wobei aber das den Betroffenen subjektiv Mögliche und Zumutbare (Urteilsfähigkeit, Gesundheitszustand, Bildungsgrad usw.)</w:t>
      </w:r>
    </w:p>
    <w:p>
      <w:r>
        <w:t>Urteil des Verwaltungsgerichts des Kantons Bern vom 3. Februar 2020, EL/19/896, Seite 6 nicht ausgeblendet werden darf (BGE 138 V 218 E. 4 S. 220; SVR 2019 IV Nr. 6 S. 18 E. 3.1). 2.3.2 Eine grosse Härte im Sinne von Art. 25 Abs. 1 ATSG liegt vor, wenn die vom ELG anerkannten Ausgaben und die zusätzlichen Ausgaben nach Abs. 4 die nach ELG anrechenbaren Einnahmen übersteigen (Art. 5 Abs. 1 der Verordnung vom 11. September 2002 über den Allgemeinen Teil des Sozialversicherungsrechts [ATSV; SR830.11]). Massgebend für die Beur- teilung, ob eine grosse Härte vorliegt, ist der Zeitpunkt, in welchem über die Rückforderung rechtskräftig entschieden ist (Art. 4 Abs. 2 ATSV). 2.3.3 Guter Glaube und grosse Härte sind kumulativ geforderte Voraus- setzungen für den Erlass einer Rückzahlung unrechtmässig bezogener Leistungen (Entscheid des Bundesgerichts vom 21. Februar 2019, 9C_623/2018, E. 2; BGE 126 V 48 E. 3c S. 53, 112 V 97 E. 2c S. 103). 3. 3.1 Der Beschwerdeführer rügt zunächst, die Rückforderungsbeträge seien fehlerhaft festgelegt worden (Beschwerde S. 1). Hierzu ist festzuhal- ten, dass die Rückerstattungsverfügungen vom 6. Dezember 2018 (AB 48- 50) unangefochten in Rechtskraft erwachsen sind. Folglich ist die Verität der Rückforderung im besagten Umfang denn auch nicht mehr zu prüfen. 3.2 Aufgrund der Akten erstellt und von den Parteien unbestritten ist, dass die Beschwerdegegnerin dem Beschwerdeführer seit dem 1. Oktober 2014 bis zum 31. August 2018 EL ausgerichtet hat, ohne dass dabei das durch diesen erzielte Einkommen berücksichtigt wurde (vgl. AB 14/7, 15/7, 16). Der Beschwerdeführer bringt vor, er habe sämtliche zusätzliche Ein- kommen angegeben und auch zu 100 % versteuert (Beschwerde S. 1). So machte er bereits im Erlassgesuch geltend, nach seiner Auffassung sei er mit Deklaration des Erwerbseinkommens in der Steuererklärung seiner Meldepflicht nachgekommen (AB 52 Lemma 3). 3.3 Aufgrund der eindeutigen und unmissverständlichen Hinweise im Formular zur Anmeldung zum Bezug von EL (vgl. AB 1/4 Ziff. XI) sowie auf</w:t>
      </w:r>
    </w:p>
    <w:p>
      <w:r>
        <w:t>Urteil des Verwaltungsgerichts des Kantons Bern vom 3. Februar 2020, EL/19/896, Seite 7 den jeweiligen Leistungsverfügungen (vgl. AB 14/2, 15 /2), wonach EL- Berechtigte der AHV-Zweigstelle ihres Wohnortes oder der kantonalen Ausgleichskasse jede Änderung in den persönlichen und wirtschaftlichen Verhältnissen, wozu auch Umstände hinsichtlich einer Erwerbstätigkeit (Arbeitsaufnahme, neue Arbeitsstelle, Erhöhung oder Verminderung des Lohnes, Arbeitsaufgabe [vgl. AB 14/4 Ziff. 10, 15/4 Ziff. 10]) gehören, un- verzüglich zu melden haben, musste dem Beschwerdeführer bewusst sein, dass ihn eine Meldepflicht trifft. Wie die Beschwerdegegnerin zutreffend ausführt (Beschwerdeantwort S. 5 Ziff. 2.9), war für ihn aus den Berech- nungsblättern denn auch ohne weiteres erkennbar, dass sich die EL aus einer Gegenüberstellung der Ausgaben und Einnahmen bemisst und das Erwerbseinkommen demgemäss ein zentraler Faktor im Kontext des Leis- tungsanspruchs resp. hinsichtlich der Berechnung der EL darstellt. Soweit der Beschwerdeführer geltend macht, er habe angenommen, die Be- schwerdegegnerin bzw. die AHV-Zweigstelle verfüge auch über seine Steuererklärungen (AB 52 Lemma 3, 61/1, 63/1; Beschwerde S. 1), ist dies nicht von Bedeutung. Zum einen hätte ihn dieser Umstand ohnehin nicht von seiner Meldepflicht entbunden, denn er war, wie bereits aufgezeigt, mehrfach darauf hingewiesen worden, jede Änderung in den persönlichen und wirtschaftlichen Verhältnissen mitteilen zu müssen, und zum anderen gilt, dass sich die Beschwerdegegnerin zwar das Wissen der AHV- Zweigstelle (BGE 140 V 521 E. 6 S. 531), nicht aber jenes der Steuerver- waltung anrechnen lassen muss. 3.4 Bei der gebotenen Aufmerksamkeit hätte der Beschwerdeführer erkennen müssen, dass er die AHV-Zweigstelle oder die Beschwerdegeg- nerin über sein im Rahmen einer Erwerbstätigkeit, selbst wenn auch nur unregelmässig - wie von ihm geltend gemacht (vgl. Beschwerde S. 1) -, erzieltes Einkommen hätte in Kenntnis setzen müssen, wurde er doch mehrmals auf seine Meldepflicht hingewiesen und handelt es sich dabei um eine Selbstverständlichkeit. Die Meldepflichtverletzung ist nach dem Darge- legten unter Berücksichtigung der konkreten Umstände nicht als bloss leicht fahrlässig zu qualifizieren. Folglich war der Beschwerdeführer nicht gutgläubig (E. 2.3.1 hiervor; SVR 2018 EL Nr. 13 S. 33 E. 1; Bundesamt für Sozialversicherungen [BSV], Wegleitung über die Ergänzungsleistungen zur AHV und IV [WEL], Version 14, Stand: 1. Januar 2020, Rz. 4652). Eine</w:t>
      </w:r>
    </w:p>
    <w:p>
      <w:r>
        <w:t>Urteil des Verwaltungsgerichts des Kantons Bern vom 3. Februar 2020, EL/19/896, Seite 8 böswillige Absicht oder eine arglistige Meldepflichtverletzung ist nicht erfor- derlich und wird dem Beschwerdeführer überdies auch nicht vorgeworfen. Da die Erlassvoraussetzungen des guten Glaubens und der grossen Härte kumulativ erfüllt sein müssen (E. 2.3.3 hiervor), kann die Frage, ob die Rückerstattung für den Beschwerdeführer eine grosse Härte bedeuten würde, offen gelassen werden. 3.5 Der angefochtene Einspracheentscheid vom 28. Oktober 2019 (AB 76) ist somit nicht zu beanstanden und die dagegen erhobene Be- schwerde als offensichtlich unbegründet abzuweisen. 4. 4.1 In Anwendung von Art. 1 Abs. 1 ELG i.V.m Art. 61 lit. a ATSG sind keine Verfahrenskosten zu erheben. 4.2 Bei diesem Ausgang des Verfahrens besteht kein Anspruch auf eine Parteientschädigung (Art. 1 Abs. 1 ELG i.V.m. Art. 61 lit. g ATSG [Umkehr- schluss]). Demnach entscheidet das Verwaltungsgericht: 1. Die Beschwerde wird abgewiesen. 2. Es werden weder Verfahrenskosten erhoben noch wird eine Parteien- tschädigung zugesprochen. 3. Zu eröffnen (R): - A.________ - Ausgleichskasse des Kantons Bern, Abteilung Ergänzungsleistungen - Bundesamt für Sozialversicherungen Der Kammerpräsident: Die Gerichtsschreiberin:</w:t>
      </w:r>
    </w:p>
    <w:p>
      <w:r>
        <w:t>Urteil des Verwaltungsgerichts des Kantons Bern vom 3. Februar 2020, EL/19/896, Seite 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