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883 vom 15. Oktober 2019</w:t>
      </w:r>
    </w:p>
    <w:p>
      <w:r>
        <w:t>BE Verwaltungsgericht, 2019-10-15, DE</w:t>
      </w:r>
    </w:p>
    <w:p>
      <w:r>
        <w:rPr>
          <w:b/>
        </w:rPr>
        <w:t xml:space="preserve">Quelle: </w:t>
      </w:r>
      <w:r>
        <w:t>https://mcp.opencaselaw.ch/entscheid/be_verwaltungsgericht_200_2019_883</w:t>
      </w:r>
    </w:p>
    <w:p>
      <w:r>
        <w:t>FR: BE_VERWALTUNGSGERICHT 200 2019 883 du 15 octobre 2019</w:t>
      </w:r>
    </w:p>
    <w:p>
      <w:r>
        <w:t>IT: BE_VERWALTUNGSGERICHT 200 2019 883 del 15 ottobre 2019</w:t>
      </w:r>
    </w:p>
    <w:p>
      <w:pPr>
        <w:pStyle w:val="Heading2"/>
      </w:pPr>
      <w:r>
        <w:t>Regeste</w:t>
      </w:r>
    </w:p>
    <w:p>
      <w:r>
        <w:t>Einspracheentscheid vom 15. Oktober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15. Oktober 2019 (act. II 9). Streitig und zu prüfen ist der Bestand der geltend gemach- ten Forderung in Form einer Kostenbeteiligung nach dem Bundesgesetz vom 18. März 1994 über die Krankenversicherung (KVG; SR 832.10) im Umfang von Fr. 195.80 zuzüglich Umtriebs- und Mahnspesen von total Fr. 100.-- sowie ob die Voraussetzungen für die Aufhebung des Rechtsvor- schlages in der Betreibung Nr. ... des Betreibungsamtes C.________ über den Betrag von Fr. 295.80 (vgl. act. II 5) gegeben sind. Nicht Anfechtungs- und Streitgegenstand bildet dagegen die geltend ge- machte Umtriebsentschädigung von Fr. 340.-- (Beschwerde S. 2). Insoweit ist auf die Beschwerde nicht einzutreten. Ebenfalls nicht einzutreten ist auf das Rechtsbegehren, die Beschwerdegegnerin sei zur Übernahme der Vorsorgeuntersuchung über die Zusatzversicherung zu verpflichten, sind für Streitigkeiten nach dem Bundesgesetz vom 2. April 1908 über den Ver-</w:t>
      </w:r>
    </w:p>
    <w:p>
      <w:r>
        <w:t>Urteil des Verwaltungsgerichts des Kantons Bern vom 27. April 2020, KV/2019/883, Seite 5 sicherungsvertrag (VVG; SR 221.229.1) die Zivilgerichte (und nicht das Verwaltungsgericht) zuständig (Art. 37 Abs. 1 des kantonalen Gesetzes vom 6. Juni 2000 betreffend die Einführung der Bundesgesetze über die Kranken-, die Unfall- und die Militärversicherung [EG KUMV; BSG 842.11]; vgl. auch prozessleitende Verfügung vom 18. Februar 2020 S. 1).</w:t>
      </w:r>
    </w:p>
    <w:p>
      <w:r>
        <w:rPr>
          <w:b/>
        </w:rPr>
        <w:t>E. 1.3</w:t>
      </w:r>
    </w:p>
    <w:p>
      <w:r>
        <w:t>Der Streitwert liegt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Die obligatorische Krankenpflegeversicherung übernimmt die Kos- ten für die Leistungen gemäss den Art. 25-31 KVG nach Massgabe der in den Art. 32-34 festgelegten Voraussetzungen (Art. 24 Abs. 1 KVG). Die Leistungen gemäss Art. 25-31 KVG umfassen namentlich solche, die der Diagnose oder Behandlung einer Krankheit und ihrer Folgen dienen (Art. 25 Abs. 1 KVG), wozu nach dem Leistungskatalog des Art. 25 Abs. 2 KVG auch die ärztlich verordneten Analysen gehören (Art. 25 Abs. 2 lit. b KVG). Des Weiteren übernimmt die obligatorische Krankenpflegeversiche- rung u.a. die Kosten für bestimmte Untersuchungen zur frühzeitigen Erken- nung von Krankheiten sowie für vorsorgliche Massnahmen zugunsten von Versicherten, die in erhöhtem Masse gefährdet sind (Art. 26 KVG). Die diagnostischen Massnahmen gemäss Art. 25 Abs. 1 KVG unterscheiden sich von den Untersuchungen zur Früherkennung von Krankheiten im Sinne von Art. 26 KVG dadurch, dass Erstere stets im Zusammenhang mit der Untersuchung oder Behandlung einer manifesten Erkrankung oder eines konkreten Krankheitsverdachtes stehen. Für diagnostische Massnahmen besteht daher im Rahmen der obligatorischen Krankenpflegeversiche-</w:t>
      </w:r>
    </w:p>
    <w:p>
      <w:r>
        <w:t>Urteil des Verwaltungsgerichts des Kantons Bern vom 27. April 2020, KV/2019/883, Seite 6 rung eine Leistungspflicht nur dann, wenn das versicherte Risiko (Gesundheitsstörung) entweder bereits eingetreten ist oder mit einer gewissen Wahrscheinlichkeit einzutreten droht. Demgegenüber haben präventive Massnahmen zur Früherkennung von Krankheiten zum Ziel, ein gesundheitliches Risiko aufzudecken, bevor es eintritt oder einzutreten droht. Sie sind deshalb von der obligatorischen Krankenpflegeversicherung unabhängig vom Vorliegen einer Krankheit oder eines Krankheitsverdachtes zu übernehmen (Urteil des BGer vom 25. April 2013, 9C_22/2013, E. 2; EVG K 55/05, E. 1.1). 2.2 Nach Art. 33 Abs. 2 KVG bezeichnet der Bundesrat in einer Positiv- liste unter anderem die Leistungen für medizinische Prävention im Sinne von Art. 26 KVG. Gestützt auf die dem Bundesrat in Art. 33 Abs. 5 KVG eingeräumte Delegationskompetenz hat er die Befugnis zum Erlass der von der obligatorischen Krankenpflegeversicherung zu übernehmenden Prä- ventivmassnahmen an das Eidgenössische Departement des Innern (EDI) subdelegiert (Art. 33 lit. d der Verordnung über die Krankenversicherung vom 27. Juni 1995 [KVV, SR 832.102]). Dieses hat die versicherten Prä- ventivmassnahmen als Positivliste in Art. 12 der Verordnung vom 29. Sep- tember 1995 über Leistungen in der obligatorischen Krankenpflegeversi- cherung (Krankenpflege-Leistungsverordnung, KLV; SR 832.112.31) im Einzelnen bezeichnet (EVG K 55/05, E. 1.2.1 mit Hinweis auf BGE 129 V 167 E. 3.2 S. 171). Diese Liste hat abschliessenden Charakter (GEBHARD EUGSTER, Rechtsprechung des Bundesgerichts zum KVG, 2. Aufl. 2018, Art. 26 N. 1). 2.3 Nach Art. 34 Abs. 1 KVG dürfen die Versicherer im Rahmen der obligatorischen Krankenpflegeversicherung keine anderen Kosten als die- jenigen für die Leistungen nach Art. 25-33 KVG übernehmen. 2.4 Die Versicherten beteiligen sich an den Kosten der für sie erbrach- ten Leistungen (Art. 64 Abs. 1 KVG). Diese Kostenbeteiligung besteht nach Art. 64 Abs. 2 KVG aus einem festen Jahresbeitrag (Franchise [lit. a]) und 10 % der die Franchise übersteigenden Kosten (Selbstbehalt [lit. b]; vgl. auch Art. 103-105 KVV).</w:t>
      </w:r>
    </w:p>
    <w:p>
      <w:r>
        <w:t>Urteil des Verwaltungsgerichts des Kantons Bern vom 27. April 2020, KV/2019/883, Seite 7 2.5 Bezahlt die versicherte Person fällige Prämien oder Kostenbeteili- gungen nicht, so hat der Versicherer ihr, nach mindestens einer schriftli- chen Mahnung, eine Zahlungsaufforderung zuzustellen, ihr eine Nachfrist von 30 Tagen einzuräumen und sie auf die Folgen des Zahlungsverzuges hinzuweisen (Art. 64a Abs. 1 KVG). Der Versicherer muss die Zahlungsauf- forderung bei Nichtbezahlung von Prämien und Kostenbeteiligungen spätestens drei Monate ab deren Fälligkeit zustellen. Er muss sie getrennt von allfälligen anderen Zahlungsausständen zustellen (Art. 105b Abs. 1 KVV). Bezahlt die versicherte Person trotz Zahlungsaufforderung die Prä- mien, Kostenbeteiligungen und Verzugszinse nicht innert der gesetzten Frist, so muss der Versicherer die Betreibung anheben (Art. 64a Abs. 2 Satz 1 KVG). 2.6 Nach der Rechtsprechung sind die Versicherer befugt, den gegen eine (noch nicht rechtskräftig festgesetzte) Prämienforderung im Bereich der obligatorischen Krankenpflegeversicherung erhobenen Rechtsvor- schlag im Rahmen des Verwaltungsverfahrens mittels Verfügung oder Ein- spracheentscheid aufzuheben (vgl. Art. 79 des Bundesgesetzes vom</w:t>
      </w:r>
    </w:p>
    <w:p>
      <w:r>
        <w:rPr>
          <w:b/>
        </w:rPr>
        <w:t>E. 6</w:t>
      </w:r>
    </w:p>
    <w:p>
      <w:r>
        <w:t>Oktober 2000 über den Allgemeinen Teil des Sozialversicherungsrechts (ATSG; SR 830.1) i.V.m. Art. 54 Abs. 1 lit. a des kantonalen Gesetzes vom</w:t>
      </w:r>
    </w:p>
    <w:p>
      <w:r>
        <w:rPr>
          <w:b/>
        </w:rPr>
        <w:t>E. 11</w:t>
      </w:r>
    </w:p>
    <w:p>
      <w:r>
        <w:t>April 1889 über Schuldbetreibung und Konkurs [SchKG; SR 281.1]). Dabei muss ausdrücklich auf die Betreibung Bezug genommen und der Rechtsvorschlag als aufgehoben erklärt werden. Die Verwaltungsbehörde fällt in dieser Konstellation nicht nur einen Sachentscheid, sondern handelt gleichzeitig auch als Rechtsöffnungsinstanz. Gleiches gilt im Beschwerde- fall für die Gerichte (BGE 121 V 109 E. 2 S. 110, 119 V 329 E. 2b S. 331; SVR 2010 KV Nr. 6 S. 28 E. 2.1). 3. Die dem Einspracheentscheid vom 15. Oktober 2019 (act. II 9) zugrunde- liegende Forderung steht im Zusammenhang mit einer Behandlung vom 23. bis 25. Januar 2019, für welche die Beschwerdegegnerin mit Leis- tungsabrechnung vom 26. Februar 2019 (act. II 10) eine Kostenbeteiligung (vgl. E. 2.4 hiervor) von Fr. 275.-- in Rechnung stellte. Der Beschwerdefüh- rer bestreitet die Kostenbeteiligung im Wesentlichen mit der Begründung, dass es sich um eine Vorsorgeuntersuchung handle, welche nicht über die</w:t>
      </w:r>
    </w:p>
    <w:p>
      <w:r>
        <w:t>Urteil des Verwaltungsgerichts des Kantons Bern vom 27. April 2020, KV/2019/883, Seite 8 Grund-, sondern die Zusatzversicherung abgerechnet werden müsse (Be- schwerde S. 1). 3.1 Aufgrund der instruktionsrichterlich vervollständigten Akten ist nun- mehr erstellt und von der Beschwerdegegnerin nicht mehr bestritten (Ein- gabe vom 27. Februar 2020), dass es sich bei der Behandlung vom 23. bis 25. Januar 2019 (act. III 2) um keine Pflichtleistung nach KVG handelte: Als Grund für die infrage stehende medizinische Leistung nannte Dr. med. B.________ in ihrer echtzeitlichen Dokumentation, dass sich der Be- schwerdeführer einem „allgemeinen Check up“ habe unterziehen wollen. Die durchgeführten Laboruntersuchungen seien unauffällig ausgefallen (act. III 3). Mangels jeglicher anderweitiger Hinweise in der echtzeitlichen ärztlichen Dokumentation (act. III 3) erfolgten die Untersuchungen unab- hängig von einer bereits eingetretenen Krankheit oder einem konkreten Krankheitsverdacht. Sie hatten demnach einzig die Früherkennung bislang symptomloser Krankheiten beim im Zeitpunkt der Untersuchung 48- jährigen Beschwerdeführer (vgl. act. III 2) zum Zweck. Weil die von Dr. med. B.________ durchgeführten Untersuchungen auch nicht auf der Posi- tivliste der Massnahmen der Prävention von Art. 12 KLV aufgeführt sind (vgl. E. 2.2 hiervor), besteht hierfür im Rahmen der obligatorischen Kran- kenpflegeversicherung keine Leistungspflicht (vgl. auch EUGSTER, a.a.O., Art. 25 N. 1 und Art. 26 N. 5). 3.2 Liegt nach dem Ausgeführten gar keine Pflichtleistung nach KVG vor (vgl. E. 3.1 hiervor), kann selbstredend auch keine Kostenbeteiligung nach Art. 64 KVG (vgl. E. 2.4 hiervor) bestehen, womit die in Betreibung gesetzte Forderung unbegründet ist, was zur Aufhebung des angefochte- nen Einspracheentscheides führt. 3.3 Soweit die erbrachten medizinischen Leistungen (act. III 2) nicht von der Zusatzversicherung nach VVG übernommen werden (vgl. Eingabe der Beschwerdegegnerin vom 27. Februar 2020), bleibt es der Beschwerde- gegnerin unbenommen, die im Rahmen des KVG zu Unrecht erbrachten Leistungen vom Beschwerdeführer zurückzufordern, dies indes nicht unter dem Titel von Art. 64a KVG (vgl. E. 2.5 hiervor).</w:t>
      </w:r>
    </w:p>
    <w:p>
      <w:r>
        <w:t>Urteil des Verwaltungsgerichts des Kantons Bern vom 27. April 2020, KV/2019/883, Seite 9 3.4 Nach dem Gesagten ist die Beschwerde – soweit darauf einzutreten ist – gutzuheissen und der angefochtene Einspracheentscheid vom 15. Ok- tober 2019 aufzuheben. 4. 4.1 In Anwendung von Art. 1 Abs. 1 KVG i.V.m. Art. 61 lit. a ATSG sind keine Verfahrenskosten zu erheben. 4.2 Da der Aufwand für die Beschwerdeführung nicht das Mass dessen überstieg, was dem Einzelnen zur Besorgung eigener Angelegenheiten zugemutet werden darf, hat der anwaltlich nicht vertretene Beschwerdefüh- rer trotz seines Obsiegens keinen Anspruch auf Ausrichtung einer Partei- entschädigung (BGE 127 V 205 E. 4b S. 207).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