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81 vom 18. Oktober 2019</w:t>
      </w:r>
    </w:p>
    <w:p>
      <w:r>
        <w:t>BE Verwaltungsgericht, 2019-10-18, DE</w:t>
      </w:r>
    </w:p>
    <w:p>
      <w:r>
        <w:rPr>
          <w:b/>
        </w:rPr>
        <w:t xml:space="preserve">Quelle: </w:t>
      </w:r>
      <w:r>
        <w:t>https://mcp.opencaselaw.ch/entscheid/be_verwaltungsgericht_200_2019_81</w:t>
      </w:r>
    </w:p>
    <w:p>
      <w:r>
        <w:t>FR: BE_VERWALTUNGSGERICHT 200 2019 81 du 18 octobre 2019</w:t>
      </w:r>
    </w:p>
    <w:p>
      <w:r>
        <w:t>IT: BE_VERWALTUNGSGERICHT 200 2019 81 del 18 ottobre 2019</w:t>
      </w:r>
    </w:p>
    <w:p>
      <w:pPr>
        <w:pStyle w:val="Heading2"/>
      </w:pPr>
      <w:r>
        <w:t>Regeste</w:t>
      </w:r>
    </w:p>
    <w:p>
      <w:r>
        <w:t>Einspracheentscheid vom 17.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Dezember 2018 (AB 63 – 70). Streitig und zu prüfen ist der Anspruch auf Arbeitslosenent- schädigung ab 1. Juli 2018 (vgl. AB 136).</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Okt. 2019, ALV/19/81, Seite 4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31 Abs. 1 AVIG haben Arbeitnehmer, deren normale Ar- beitszeit verkürzt oder deren Arbeit ganz eingestellt ist, Anspruch auf Kurz- arbeitsentschädigung, wenn sie bestimmte, in lit. a bis d näher umschrie- bene Voraussetzungen erfüllen. Keinen Anspruch auf Kurzarbeitsentschä- digung haben gemäss Art. 31 Abs. 3 lit. c AVIG jene Personen, die in ihrer Eigenschaft als Gesellschafter, als finanziell am Betrieb Beteiligte oder als Mitglieder eines obersten betrieblichen Entscheidungsgremiums die Ent- scheidungen des Arbeitgebers bestimmen oder massgeblich beeinflussen können, sowie ihre mitarbeitenden Ehegatten. Gemäss ständiger Rechtsprechung ist Art. 31 Abs. 3 lit. c AVIG analog auf arbeitgeberähnliche Personen sowie ihre mitarbeitenden Ehegatten an- wendbar, welche Arbeitslosenentschädigung beanspruchen (BGE 145 V 200 E. 4.1 S. 203, 142 V 263 E. 4.1 S. 266 und E. 5.2 S. 268, 133 V 133 E. 2.4.2 S. 135). Denn Kurzarbeit kann nicht allein in einer Reduktion der täglichen, wöchentlichen oder monatlichen Arbeitszeit, sondern auch darin bestehen, dass ein Betrieb (bei fortbestehendem Arbeitsverhältnis) für eine gewisse Zeit vollständig stillgelegt wird (100%-ige Kurzarbeit). In einem solchen Fall ist ein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 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Kurzarbeitsentschädigung ausge-</w:t>
      </w:r>
    </w:p>
    <w:p>
      <w:r>
        <w:t>Urteil des Verwaltungsgerichts des Kantons Bern vom 18. Okt. 2019, ALV/19/81, Seite 5 nommen wäre. Eine grundsätzlich andere Situation liegt jedoch dann vor, wenn der Arbeitnehmer nach der Entlassung seine arbeitgeberähnliche Stellung im Betrieb beibehält und dadurch die Entscheidungen des Arbeit- gebers weiterhin bestimmen oder massgeblich beeinflussen kann (BGE 123 V 234 E. 7b bb S. 238). Diese Rechtsprechung will nicht nur dem ausgewiesenen Missbrauch an sich begegnen, sondern bereits dem Risiko eines solchen, das der Ausrichtung von Arbeitslosenentschädigung an ar- beitgeberähnliche Personen und deren Ehegatten inhärent ist (BGE 142 V 263 E. 4.1 S. 266 und E. 5.3 S. 270; ARV 2011 S. 242 E. 5.1; SVR 2007 ALV Nr. 21 S. 69 E. 3.1). 2.3 Im Betrieb mitarbeitende Ehegatten arbeitgeberähnlicher Personen haben gemäss ständiger Rechtsprechung keinen Anspruch auf Arbeitslo- senentschädigung (BGE 145 V 200 E. 4.1 S. 203). Das Missbrauchsrisiko ist dasselbe, ob es um Arbeitslosen-, Kurzarbeits- oder Insolvenzentschädigung geht. Daher rechtfertigt sich keine unterschiedliche Behandlung von Ehegatten arbeitgeberähnlicher Personen in Bezug auf diese drei Leistungsarten (BGE 142 V 263 E. 4.1 S. 267 und E. 5.2 S. 268). Wie die Rechtsprechung im Zusammenhang mit der Kurzarbeitsentschädi- gung mehrmals betont hat, ist der Ausschluss absolut zu verstehen. Es ist somit nicht möglich, den betroffenen Personen unter bestimmten Voraussetzungen im Einzelfall Leistungen zu gewähren (BGE 142 V 263 E. 4.1 S. 267, 123 V 234 E. 7 S. 236). 3. 3.1 Der Beschwerdegegner geht davon aus, die Beschwerdeführerin sei als Ehegattin eines Mitgliedes des Verwaltungsrates der C.________ AG, ihrer letzten Arbeitgeberin vor der Arbeitslosigkeit, grundsätzlich nicht an- spruchsberechtigt und erfülle zudem die notwendige Beitragszeit ausser- halb der C.________ AG nicht, um anspruchsberechtigt zu sein (AB 30 f. Ziff. 3). In der Beschwerde (S. 5 f. Ziff. 8 – 11) wird dagegen vorgebracht, der Beschwerdegegner habe in seiner Beurteilung den tatsächlich gelebten Sachverhalt völlig ausser Acht gelassen. Die Beschwerdeführerin und ihr Ehegatte seien bereits seit zehn Jahren getrennt. Unter Berücksichtigung</w:t>
      </w:r>
    </w:p>
    <w:p>
      <w:r>
        <w:t>Urteil des Verwaltungsgerichts des Kantons Bern vom 18. Okt. 2019, ALV/19/81, Seite 6 der Gesamtumstände habe sie weder eine arbeitgeberähnliche Stellung innegehabt noch massgebenden Einfluss auf den Geschäftsverlauf neh- men können, weshalb sie Anspruch auf Leistungen der Arbeitslosenversi- cherung habe. 3.2 Aus den Akten ergibt sich und ist unbestritten, dass die Beschwer- deführerin bis zum 10. April 2018 Mitglied des Verwaltungsrates der C.________ AG mit Kollektivunterschrift zu zweien war und von 1994 bis Ende Juni 2018 bei der besagten Unternehmung im Rahmen eines 60%- igen Arbeitspensums gearbeitet hat. Präsident resp. Mitglied des Verwal- tungsrates mit Einzelunterschrift war und ist nach wie vor der Ehemann der Beschwerdeführerin D.________ (AB 124, 149, 152; www.zefix.ch). Weiter steht unbestrittenermassen fest, dass die Beschwerdeführerin bis heute resp. zumindest bis zum Erlass des für die gerichtliche Überprüfung mass- geblichen Einspracheentscheids vom 17. Dezember 2018 (AB 63 – 70; BGE 131 V 242 E. 2.1 S. 243, 130 V 138 E. 2.1 S. 140) mit D.________ verheiratet ist und seit langem (gemäss Angaben der Beschwerdeführerin zehn Jahre) von diesem getrennt lebt. 3.3 In analoger Anwendung von Art. 31 Abs. 3 lit. c AVIG haben Gesell- schafter und Mitglieder eines obersten betrieblichen Entscheidgremiums einer Unternehmung – und damit auch der Ehemann der Beschwerdeführe- rin – aufgrund ihrer arbeitgeberähnlichen Stellung keinen Anspruch auf Arbeitslosenentschädigung (vgl. E. 2.2 hiervor; vgl. auch BGE 145 V 200 E. 4.1 S. 203 und Rz. B18 AVIG-Praxis ALE, abrufbar unter: &lt;www.arbeit.swiss&gt;). Dies hat gemäss ständiger Rechtsprechung auch für die Beschwerdeführerin als mitarbeitende Ehegattin zu gelten (vgl. E. 2.3 hiervor; vgl. auch Rz. B21 – B24 AVIG-Praxis). Entgegen der Auffassung in der Beschwerde (S. 5 Ziff. 7) ist es dabei nicht relevant, dass sie seit Jah- ren von ihrem Ehegatten getrennt lebt. Weil bis zum Scheidungsurteil eine Umgehungsgefahr persistiert, sind vor diesem Zeitpunkt gemäss höchstrichterlicher Rechtsprechung keine Leistungen der Arbeitslosenversicherung geschuldet, unabhängig davon, ob und wie lange die Ehepartner faktisch oder gerichtlich getrennt leben oder ob gerichtliche Eheschutzmassnahmen angeordnet wurden. Ein Anspruch auf Arbeitslosenentschädigung kann bei andauernder Ehe nicht einmal dann</w:t>
      </w:r>
    </w:p>
    <w:p>
      <w:r>
        <w:t>Urteil des Verwaltungsgerichts des Kantons Bern vom 18. Okt. 2019, ALV/19/81, Seite 7 entstehen, wenn der Scheidungswille der schon lange getrennt lebenden Ehepartner als unerschütterlich feststehend erscheint (BGE 142 V 263 E. 5.2.2 S. 270; vgl. auch ARV 2018 S. 342 ff.). Daran ändern die zwei von der Beschwerdeführerin erwähnten Urteile ausserkantonaler erstinstanzli- cher Gerichte nichts, in welchen offenbar am Erfordernis der richterlichen Trennung für die Verneinung der arbeitgeberähnlichen Stellung nicht fest- gehalten wurde (Beschwerde S. 4 f. Ziff. 3). Denn diese sind für das hier urteilende Gericht nicht bindend. Zudem widersprechen diese der höch- strichterlichen Rechtsprechung, dass der Ausschluss von im Betrieb mitar- beitenden Ehegatten arbeitgeberähnlicher Personen absolut zu verstehen ist (vgl. E. 2.3 hiervor). Bei dieser Sach- und Rechtslage braucht die Frage einer arbeitgeberähnli- chen Stellung der Beschwerdeführerin selber in der genannten Unterneh- mung nicht geprüft zu werden. 3.4 Darüber hinaus erfüllte die Beschwerdeführerin mit keiner anderen Tätigkeit ausserhalb der C.________ AG die Mindestbeitragszeit von zwölf Monaten und es gibt keine Anhaltspunkte dafür, dass sie von der Erfüllung der Beitragszeit gemäss Art. 14 AVIG befreit wäre. Entsprechendes wird auch nicht geltend gemacht. 3.5 Nach dem Dargelegten hat der Beschwerdegegner einen Anspruch auf Arbeitslosenentschädigung zu Recht verneint. Dementsprechend ist die Beschwerde offensichtlich unbegründet und abzuweisen. 4. 4.1 In Anwendung von Art. 1 Abs. 1 AVIG i.V.m. Art. 61 lit. a ATSG sind keine Verfahrenskosten zu erheben. 4.2 Bei diesem Verfahrensausgang besteht kein Anspruch auf eine Par- teientschädigung (Art. 1 Abs. 1 AVIG i.V.m. Art. 61 lit. g ATSG [Umkehr- schluss]).</w:t>
      </w:r>
    </w:p>
    <w:p>
      <w:r>
        <w:t>Urteil des Verwaltungsgerichts des Kantons Bern vom 18. Okt. 2019, ALV/19/81, Seite 8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