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612 vom 27. Juni 2019</w:t>
      </w:r>
    </w:p>
    <w:p>
      <w:r>
        <w:t>BE Verwaltungsgericht, 2019-06-27, DE</w:t>
      </w:r>
    </w:p>
    <w:p>
      <w:r>
        <w:rPr>
          <w:b/>
        </w:rPr>
        <w:t xml:space="preserve">Quelle: </w:t>
      </w:r>
      <w:r>
        <w:t>https://mcp.opencaselaw.ch/entscheid/be_verwaltungsgericht_200_2019_612</w:t>
      </w:r>
    </w:p>
    <w:p>
      <w:r>
        <w:t>FR: BE_VERWALTUNGSGERICHT 200 2019 612 du 27 juin 2019</w:t>
      </w:r>
    </w:p>
    <w:p>
      <w:r>
        <w:t>IT: BE_VERWALTUNGSGERICHT 200 2019 612 del 27 giugno 2019</w:t>
      </w:r>
    </w:p>
    <w:p>
      <w:pPr>
        <w:pStyle w:val="Heading2"/>
      </w:pPr>
      <w:r>
        <w:t>Regeste</w:t>
      </w:r>
    </w:p>
    <w:p>
      <w:r>
        <w:t>Einspracheentscheid vom 27. Juni 2019 (349665)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auf den Veranlagungsverfügungen vom 20. November 2017 (AB 6) und 29. November 2018 (AB 4) basierende</w:t>
      </w:r>
    </w:p>
    <w:p>
      <w:r>
        <w:t>Urteil des Verwaltungsgerichts des Kantons Bern vom 28. Jan. 2020, AHV/19/612, Seite 4 Einspracheentscheid vom 27. Juni 2019 (AB 1). Streitig und zu prüfen ist, ob zu Recht Nachtragsrechnungen gestellt wurden und dabei insbesonde- re, ob die von der Beschwerdegegnerin für den Zeitraum von 1. Januar 2012 bis 31. Dezember 2013 vorgenommenen Lohnaufrechnungen wegen der arbeitgeberseitigen Bezahlung der Arbeitnehmerbeiträge der berufli- chen Vorsorge zu Recht erfolgt sind.</w:t>
      </w:r>
    </w:p>
    <w:p>
      <w:r>
        <w:rPr>
          <w:b/>
        </w:rPr>
        <w:t>E. 1.3</w:t>
      </w:r>
    </w:p>
    <w:p>
      <w:r>
        <w:t>Der Streitwert setzt sich zusammen aus der Differenzrechnung für das Jahr 2012, ausmachend Fr. 7'875.85 (AB 6), sowie für das Jahr 2013, ausmachend Fr. 8'702.85 (AB 4). Damit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5 Abs. 1 und Art. 14 Abs. 1 AHVG werden vom Einkom- men aus unselbstständiger Erwerbstätigkeit, dem massgebenden Lohn, Beiträge erhoben. Als massgebender Lohn gilt jedes Entgelt für in un- 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Der Bundesrat kann Sozialleistungen sowie anlässlich be- sonderer Ereignisse erfolgende Zuwendungen eines Arbeitgebers an seine Arbeitnehmer vom Einbezug in den massgebenden Lohn ausnehmen (Art. 5 Abs. 4 AHVG). 2.2 Reglementarische Beiträge des Arbeitgebers an Vorsorgeeinrich- tungen, welche die Voraussetzungen der Steuerbefreiung nach dem Bun- desgesetz vom 14. Dezember 1990 über die direkte Bundessteuer (DBG; SR 642.11) erfüllen, gehören nicht zum massgebenden Lohn (Art. 8 lit. a</w:t>
      </w:r>
    </w:p>
    <w:p>
      <w:r>
        <w:t>Urteil des Verwaltungsgerichts des Kantons Bern vom 28. Jan. 2020, AHV/19/612, Seite 5 der Verordnung vom 31. Oktober 1947 über die Alters- und Hinterlasse- nenversicherung [AHVV; SR 831.101]) Gemäss der vom Bundesamt für Sozialversicherungen (BSV) hierzu her- ausgegebenen Wegleitung über den massgebenden Lohn in der AHV, IV und EO (WML, gültig ab 1. Januar 2008; abrufbar unter: www.bsvlive.admin.ch/vollzug) gehören Einlagen (laufende Beiträge und Einkaufssummen) der Arbeitgebenden an die berufliche Vorsorge ihrer Arbeitnehmenden dann nicht zum massgebenden Lohn, wenn und soweit die Statuten oder das Reglement der Vorsorgeeinrichtung sie zwingend vorschreiben. Kann-Vorschriften genügen nicht. Ist zwar vorgesehen, dass die Arbeitgebenden die laufenden Arbeitnehmerbeiträge übernehmen und/oder sich am Einkauf der Arbeitnehmenden beteiligen, nicht aber in welchem Umfang (Prozentsatz oder Betrag), liegt keine zwingend vorge- schriebene Einlage vor (Rz. 2165 WML). Von den Arbeitgebenden erbrach- te Einlagen, welche nicht oder nicht zwingend in den Statuten oder im Re- glement der Vorsorgeeinrichtung vorgeschrieben sind, gehören zum mass- gebenden Lohn (Rz. 2168 WML; vgl. auch Entscheid des Bundesgerichts [BGer] vom 26. März 2019, 8C_507/2018 E. 5.1). 2.3 Nach Art. 41bis Abs. 1 lit. b i.V.m. Art. 42 Abs. 2 AHVV haben Bei- tragspflichtige auf für vergangene Kalenderjahre nachgeforderten Beiträ- gen, ab dem 1. Januar nach Ablauf des Kalenderjahres, für welches die Beiträge geschuldet sind, Verzugszinsen zum Satz von 5% zu entrichten. 3. 3.1 In den Veranlagungsverfügungen vom 20. November 2017 (AB 6) und vom 29. November 2018 (AB 4) resp. im Einspracheentscheid vom 27. Juni 2019 (AB 1) begründet die Beschwerdegegnerin die Beitragsnach- forderung damit, dass die durchgeführte Arbeitgeberkontrolle vom 23. Ja- nuar 2017 (AB 9) ergeben habe, dass die Beiträge an die berufliche Vor- sorge, welche vollumfänglich von der Beschwerdeführerin übernommen worden seien, beim beitragspflichtigen Bruttoeinkommen bzw. beim mass- gebenden Lohn der Angestellten nicht berücksichtigt worden seien. Abzüg- lich der bereits bezahlten Beiträge resultiere die Pflicht zur Nachzahlung</w:t>
      </w:r>
    </w:p>
    <w:p>
      <w:r>
        <w:t>Urteil des Verwaltungsgerichts des Kantons Bern vom 28. Jan. 2020, AHV/19/612, Seite 6 von Beiträgen an die AHV/IV/EO, ALV und Familienausgleichskasse in Höhe von insgesamt Fr. 16'578.70 (Fr. 7‘875.85 + 8‘702.85; inkl. Verwal- tungskosten von Fr. 2'279.45 und Zinsen von Fr. 2'846.25; AB 4 und 6). 3.2 Vorliegend ist von den Parteien unbestritten, dass nicht nur die Ar- beitgeber-, sondern auch die Arbeitnehmerbeiträge an die berufliche Vor- sorge im massgebenden Zeitraum von 2012 bis 2013 von der Beschwerde- führerin bezahlt worden sind (vgl. insbesondere Beschwerde S. 6 Rz 14). Streitig und zu prüfen ist ausschliesslich die Rechtmässigkeit der Anrech- nung der besagten Beiträge der Beschwerdeführerin an den massgeben- den Lohn und die daraus resultierende Nachzahlungspflicht der Beschwer- deführerin gegenüber der Beschwerdegegnerin. Wie die Beschwerdeführe- rin in ihrer Beschwerde zutreffend ausführt, wurde bereits ein Verfahren über die entsprechenden Beiträge der Unfallversicherung (UV) vor Verwal- tungsgericht (VGE UV/2018/27) und anschliessend vor Bundesgericht (BGer 8C_507/2018) geführt. Die zentralen Sachverhalts- und Rechtsfra- gen wurden in diesem Verfahren abschliessend kontrolliert und höchstrich- terlich beurteilt. Insoweit die Beschwerdeführerin nach wie vor die in jenem Urteil auch für das vorliegende Verfahren massgebliche und nicht anders zu beurteilende Frage der Beitragspflicht zur Diskussion stellt, kann ihr nicht gefolgt werden, zumal für die Beiträge an die AHV/IV/EO, ALV und Familienausgleichskasse dasselbe gilt wie für diejenigen der UV. Es kann vorliegend deshalb auf die Ausführungen dieses Gerichts in seinem Urteil VGE UV/2018/27 E. 3.1 f. verwiesen werden, die vom Bundesgericht als zutreffend bestätigt wurden. Festgehalten worden war dabei im Urteil des Verwaltungsgerichts insbesondere: „3.1 In tatsächlicher Hinsicht macht die Beschwerdeführerin unter Verweis auf ein Protokoll ihrer Vorsorgekommission vom 1. März 2001 (AB 98/3) geltend (Beschwerde, S. 2), diese habe im Jahr 2001 beschlossen, dass die Arbeitgeberin sämtliche Beiträge an die berufliche Vorsorge, mithin auch jene der Arbeitnehmer, übernehme. Dieser Beschluss sei "stillschweigend" (richtig wohl: mündlich) erfolgt und (erst) 2017 schriftlich festgehalten worden. Entgegen der von der Beschwerdegegnerin im Einspracheentscheid (AB 103/3) vertretenen</w:t>
      </w:r>
    </w:p>
    <w:p>
      <w:r>
        <w:t>Urteil des Verwaltungsgerichts des Kantons Bern vom 28. Jan. 2020, AHV/19/612, Seite 7 Meinung sei das besagte Protokoll somit nicht als unglaubwürdig zu qualifizieren. 3.1.1 Nachdem die Beschwerdeführerin noch im Einspracheverfahren mit der Auflage des mit "01.03.2001" datierten Dokuments "Protokoll der Vorsorgekommission" (AB 98/3) insinuierte, es handle sich um ein echtzeitliches Dokument, welchem aber die Beschwerdegegnerin aufgrund diverser für eine nachträgliche Erstellung sprechenden Indizien die Glaubwürdigkeit absprach (AB 103/3), macht sie nunmehr selber geltend, dabei handle es sich um ein erst 2017 erstelltes und damit rückdatiertes Protokoll (Beschwerde, S. 2). Aufgrund der Aktenlage ist sodann davon auszugehen, dass dieses Protokoll erst nach der Betriebsrevision vom 23. Januar 2017 und folglich in Kenntnis der hier gegebenen Problematik produziert wurde, womit Beeinflussungen durch Überlegungen versicherungsrechtlicher Natur nicht mehr ausgeschlossen werden können […]. Deshalb ist dem erst 2017 schriftlich abgefasste Protokoll der Vorsorgekommission vom 1. März 2001 (AB 98/3) die Beweiskraft abzusprechen. Dass die Vorsorge- kommission der Beschwerdeführerin im Jahr 2001 den Beschluss ge- fällt hat, arbeitgeberseits sämtliche Beiträge an die berufliche Vorsorge zu übernehmen, ist schon deshalb nicht überwiegend wahrscheinlich, weil – wie die Beschwerdegegnerin in der Beschwer- deantwort, S. 4 f. Ziff. 6.4, und Duplik zutreffend bemerkt – die Re- glemente und Vorsorgepläne, obschon sie im Laufe der Jahre mehrfach neu ausgestellt wurden (so 2006, 2014 und 2015; AB 79/97, 79/51, 79/5), entgegen dem angeblichen Beschluss noch immer die hälftige Finanzierung der Vorsorgeleistungen durch die Arbeitnehmer und Arbeitgeber vorsehen. Erst am 8. September 2017 bestätigte die Vorsorgeeinrichtung der Beschwerdeführerin den Erhalt des Vorsorgekommissionsbeschlusses (AB 91/3). Diese Bestätigung ist vorliegend indessen unmassgeblich, gibt die Vorsorgeeinrichtung doch allein das wieder, was die Beschwerdeführerin ihr mitgeteilt hat. Ein diesbezüglicher, auf das Jahr 2001 zurückgehender Beschluss ist damit mangels echtzeitlicher Belege bzw. anderer Beweise nicht er- stellt.</w:t>
      </w:r>
    </w:p>
    <w:p>
      <w:r>
        <w:t>Urteil des Verwaltungsgerichts des Kantons Bern vom 28. Jan. 2020, AHV/19/612, Seite 8 3.1.2 Folglich ist von den in den Jahren 2012 bis 2015 gültigen Personalvorsorge-Reglementen der Vorsorgeeinrichtung der Beschwerdeführerin auszugehen. In diesen ist durchgehend und unmissverständlich eine paritätische, d.h. je hälftige, Finanzierung der Vorsorgeleistungen durch die Arbeitgeberin und die Arbeitnehmer statuiert (AB 79/97 und 79/128 [Personalvorsorge-Reglement gültig ab 1. Januar 2006]; AB 79/51 [Personalvorsorge-Reglement gültig ab 1. Januar 2014]; AB 79/5 [Personalvorsorge-Reglement gültig ab 1. Januar 2015]). 3.2 […] 3.2.1 Eine reglementarische Grundlage zur arbeitgeberseitigen Be- zahlung der BVG-Arbeitnehmerbeiträge für die Jahre 2012 bis 2015 ist nach dem unter E. 3.1.2 hiervor Ausgeführten nicht vorhanden. Eine allfällige Regelung im Anstellungsreglement, wie sie die Beschwerdeführerin einsprache- (AB 91/2 Ziff. 2) und beschwerdeweise (Beschwerde, S. 1) geltend machte, indes nie belegte, würde schon deshalb keine reglementarische Grundlage im erwähnten Sinne darstellen, weil die Vorsorgeeinrichtung an einem solchen Reglement nicht als Partei beteiligt wäre (vgl. zur ähnlichen Situation bei einem Sozialplan: AHI 2004 S. 256 f. E. 4.2.2). Auch wenn, wie beschwerdeweise hervorgehoben wird, seit der Unternehmensgründung sämtliche Beiträge an die Vorsorgeeinrichtung stets vollständig – in den Worten der Beschwerdeführerin "auf freiwilliger Basis" – von der Arbeitgeberin übernommen worden wären, vermöchte dies keine andere Betrachtungsweise zu rechtfertigen. Wie bereits dargelegt, setzte der Verordnungsgeber für die Anerkennung einer Ausnahme vom beitragspflichtigen Lohn doch gerade eine normative Verpflichtung der Arbeitgeber zur Bezahlung der Arbeitnehmerbeiträge voraus, die hier nicht existiert […]. 3.2.2 […]“ 3.3 Nach dem Dargelegten steht fest, dass für die vollständige Über- nahme der Beiträge an die berufliche Vorsorge eine Grundlage in den Sta-</w:t>
      </w:r>
    </w:p>
    <w:p>
      <w:r>
        <w:t>Urteil des Verwaltungsgerichts des Kantons Bern vom 28. Jan. 2020, AHV/19/612, Seite 9 tuten oder im Reglement der Vorsorgeeinrichtung fehlt. Die über die ge- setzlich vorgeschriebenen Beiträge hinaus von der Arbeitgeberin geleiste- ten Zahlungen gilt es als massgeblichen Lohn zu qualifizieren (vgl. E. 2.2 hiervor). Damit hat die Beschwerdegegnerin zu Recht die auf den zusätzli- chen massgeblichen Lohn anfallenden Beiträge an die AHV/IV/EO, ALV und Familienausgleichskasse nachgefordert. Daran vermag auch das im vorliegenden Verfahren erstmals eingereichte Schreiben der B.________ AG vom 13. August 2019 (Akten der Beschwer- deführerin, Beschwerdebeilage [BB] 6) nichts zu ändern. Darin führt der Generalagent der B.________ aus, er habe bereits anlässlich der ersten Personalinformation im Jahr 1999 und letztmals im Jahr 2015 den Mitarbei- tenden bestätigt, dass seitens der Beschwerdeführerin die vollen BVG- Beiträge übernommen werden und nicht, wie im Personalvorsorgevertrag vereinbart, eine 50/50 Finanzierung zwischen Arbeitgeberin und Arbeit- nehmenden erfolge. Diesem Schreiben kommt keine Beweiskraft zu. Der Inhalt dieses Schreibens deckt sich nahezu mit demjenigen der B.________ vom 8. September 2017 (BB 22), welches bereits während dem Beschwerdeverfahren vor Verwaltungsgericht (VGE UV/2018/27) so- wie anschliessend vor Bundesgericht (BGer 8C_507/2018) bekannt war und sich in den Akten befand. Die einzige Unterscheidung liegt darin, dass zwischenzeitlich die Behauptung über eine echtzeitliche Information in den Raum gestellt wird. Es ist nicht nachvollziehbar, weshalb diese Aussagen über angeblich eigene Wahrnehmungen von Repräsentanten der B.________ nicht bereits im letzten Verfahren bzw. im erwähnten früheren Schreiben geltend gemacht wurden, wenn sie denn getätigt worden wären. Die Beschwerdeführerin scheint mit diesem Schreiben vielmehr auf die Ausführungen dieses Gerichts (VGE UV/2018/2017 E. 3.1.1 in sine) einzu- gehen, in dem festgehalten worden war, ersteres Schreiben gebe einzig das von der Arbeitgeberin an die Versicherung (angeblich) Mitgeteilte wie- der, weshalb ihm keine Beweiskraft zukomme. Sofern die Beschwerdefüh- rerin nun versucht, mit nachgeschobenen, angeblichen eigenen Wahrneh- mungen eines Generalagenten den Beweis des Gegenteils anzutreten, so ist dies unbehelflich.</w:t>
      </w:r>
    </w:p>
    <w:p>
      <w:r>
        <w:t>Urteil des Verwaltungsgerichts des Kantons Bern vom 28. Jan. 2020, AHV/19/612, Seite 10 Selbst wenn sich der Inhalt des Schreibens vom 13. August 2019 (BB 6) als wahr erweisen würde, würde dies im Übrigen zu keinem anderen Er- gebnis führen, da es, wie bereits oben ausgeführt, auch diesfalls nach wie vor an der nötigen schriftlichen Vereinbarung im Reglement der Vorsorge- einrichtung fehlt (BGer 8C_507/2018 E. 5.2.3). Daran vermag auch – ent- gegen der Auffassung der Beschwerdeführerin (Beschwerde S. 6) – die angeblich erteilte Auskunft des Suva-Revisors, eine Änderung des Regle- ments sei nicht erforderlich und eine nachträgliche Forderung von Beiträ- gen ausgeschlossen, nichts zu ändern, zumal diese die mit der Unfallversi- cherung nicht betraute Beschwerdegegnerin nicht binden kann. Zum As- pekt des Vertrauensschutzes kann diesbezüglich auf die höchstrichterli- chen Ausführungen verwiesen werden (vgl. hierzu BGer 8C_507/2018 E. 6.2). 4. 4.1 Die Beschwerdeführerin reichte im Beschwerdeverfahren weitere Beweismittel zu den Akten, darunter eine Aktennotiz über die Besprechung vom 21. Juli 2017 mit dem Suva-Revisor (BB 18), das Personalvorsorge- Reglement der B.________ (gültig ab 1. Januar 2017; BB 23) und die Lohnblätter der Jahre 1999 bis 2001 (BB 7, 11). Sie führte betreffend die neu eingereichten Beweismittel aus, sie würden aufzeigen, dass sie bereits seit dem Jahr 1999 die gesamten Vorsorgebeiträge übernommen habe und dies während einer früheren Suva-Revision nicht bemängelt worden sei. Folglich habe die Beschwerdeführerin davon ausgehen können, dass diese vollständige Bezahlung der Beiträge durch sie zulässig sei, trotz fehlender schriftlicher Änderung des Vorsorgereglements. Indem die Beschwerde- gegnerin nun infolge einer weiteren Suva-Revision eine Nachzahlung for- dere, widerspreche sie dem Grundsatz von Treu und Glauben (Beschwer- de S. 15). Folglich bleibt zu prüfen, ob die vorher durchgeführten Revisionen, anläss- lich derer der Fehler unentdeckt geblieben ist, einen Vertrauensschutz be- gründen.</w:t>
      </w:r>
    </w:p>
    <w:p>
      <w:r>
        <w:t>Urteil des Verwaltungsgerichts des Kantons Bern vom 28. Jan. 2020, AHV/19/612, Seite 11 4.2 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EVG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Dezember 2004, H 157/04, E. 3.3.1). Praxisgemäss können nicht bloss falsche Auskünfte eine vom materiellen Recht abweichende Behandlung der Rechtsuchenden gebieten. Vielmehr kann jede Form behördlichen Fehlverhaltens den öffentlich-rechtlichen Vertrauensschutz auslösen, wenn und soweit es bei den betroffenen Personen eine entsprechende Vertrau- enssituation schafft (BGE 111 Ib 116 E. 4 S. 124). Dazu gehört auch der Umstand, dass die Behörde eine unrichtige Verfügung erlassen hat (BGE 113 V 66 E. 2 S. 70; SVR 1998 AHV Nr. 30 S. 94 E. 8a). Denn mit dem Erlass einer konkreten Verfügung wird in der Regel eine noch viel ein- deutigere Vertrauensbasis geschaffen als mit einer blossen Auskunft (ARV 1999 S. 237 E. 3a). Abgeleitet aus dem Grundsatz von Treu und Glauben, welcher die Bürgerin und den Bürger in ihrem berechtigten Vertrauen auf behördliches Verhalten schützt, können falsche Auskünfte von Verwaltungsbehörden unter be- stimmten Voraussetzungen eine vom materiellen Recht abweichende Be- handlung der rechtsuchenden Person gebieten. Gemäss Lehre und Recht- sprechung (BGE 143 V 341 E. 5.2.1 S. 346, 131 V 472 E. 5 S. 480) ist dies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