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600 vom 27. Juni 2019</w:t>
      </w:r>
    </w:p>
    <w:p>
      <w:r>
        <w:t>BE Verwaltungsgericht, 2019-06-27, DE</w:t>
      </w:r>
    </w:p>
    <w:p>
      <w:r>
        <w:rPr>
          <w:b/>
        </w:rPr>
        <w:t xml:space="preserve">Quelle: </w:t>
      </w:r>
      <w:r>
        <w:t>https://mcp.opencaselaw.ch/entscheid/be_verwaltungsgericht_200_2019_600</w:t>
      </w:r>
    </w:p>
    <w:p>
      <w:r>
        <w:t>FR: BE_VERWALTUNGSGERICHT 200 2019 600 du 27 juin 2019</w:t>
      </w:r>
    </w:p>
    <w:p>
      <w:r>
        <w:t>IT: BE_VERWALTUNGSGERICHT 200 2019 600 del 27 giugno 2019</w:t>
      </w:r>
    </w:p>
    <w:p>
      <w:pPr>
        <w:pStyle w:val="Heading2"/>
      </w:pPr>
      <w:r>
        <w:t>Regeste</w:t>
      </w:r>
    </w:p>
    <w:p>
      <w:r>
        <w:t>Einspracheentscheid vom 27. Juni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1. Nov. 2019, FZ/2019/600, Seite 3</w:t>
      </w:r>
    </w:p>
    <w:p>
      <w:r>
        <w:rPr>
          <w:b/>
        </w:rPr>
        <w:t>E. 1.2</w:t>
      </w:r>
    </w:p>
    <w:p>
      <w:r>
        <w:t>Anfechtungsobjekt bildet der Einspracheentscheid vom 27. Juni 2019 (act. II 49 f.), mit welchem die Beschwerdegegnerin den Anspruch auf Familienzulagen für die Tochter des Beschwerdeführers für die Zeit ab</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22 i.V.m. Art. 12 Abs. 2 des Bundesgesetzes vom 24. März 2006 über die Familienzulagen [FamZG; SR 836.2]). Da auch die Bestim- 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