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556 vom 24. Oktober 2019</w:t>
      </w:r>
    </w:p>
    <w:p>
      <w:r>
        <w:t>BE Verwaltungsgericht, 2019-10-24, DE</w:t>
      </w:r>
    </w:p>
    <w:p>
      <w:r>
        <w:rPr>
          <w:b/>
        </w:rPr>
        <w:t xml:space="preserve">Quelle: </w:t>
      </w:r>
      <w:r>
        <w:t>https://mcp.opencaselaw.ch/entscheid/be_verwaltungsgericht_200_2019_556</w:t>
      </w:r>
    </w:p>
    <w:p>
      <w:r>
        <w:t>FR: BE_VERWALTUNGSGERICHT 200 2019 556 du 24 octobre 2019</w:t>
      </w:r>
    </w:p>
    <w:p>
      <w:r>
        <w:t>IT: BE_VERWALTUNGSGERICHT 200 2019 556 del 24 ottobre 2019</w:t>
      </w:r>
    </w:p>
    <w:p>
      <w:pPr>
        <w:pStyle w:val="Heading2"/>
      </w:pPr>
      <w:r>
        <w:t>Regeste</w:t>
      </w:r>
    </w:p>
    <w:p>
      <w:r>
        <w:t>Verfügung vom 12. Juni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12. Juni 2019 (act. IIA 87). Streitig und zu prüfen ist der Rentenanspruch und dabei insbesondere, ob die Beschwerdegegnerin die bisherige ganze Rente zu Recht per Ende des der Verfügungszustellung folgenden Monats – mithin per 31. Juli 2019 – auf eine Dreiviertelsrente herabsetzte.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24. Okt. 2019, IV/19/556,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Der Versicherungsträger kann auf formell rechtskräftige Verfügun- gen oder Einspracheentscheide zurückkommen, wenn diese zweifellos unrichtig sind und wenn ihre Berichtigung von erheblicher Bedeutung ist (Art. 53 Abs. 2 ATSG). 2.4.1 Die Wiedererwägung dient der nachträglichen Korrektur einer ur- sprünglich unrichtigen Rechtsanwendung oder Sachverhaltsfeststellung</w:t>
      </w:r>
    </w:p>
    <w:p>
      <w:r>
        <w:t>Urteil des Verwaltungsgerichts des Kantons Bern vom 24. Okt. 2019, IV/19/556, Seite 6 durch die Verwaltung (BGE 117 V 8 E. 2c S. 17; SVR 2018 IV Nr. 33 S. 107 E. 5.3; Entscheid des Bundesgerichts [BGer] vom 30. Oktober 2012, 9C_396/2012, E. 2.1). 2.4.2 Nach der Rechtsprechung kann die Wiedererwägung rechtskräftiger Verfügungen bzw. Einspracheentscheide nur in Betracht kommen, wenn es sich um die Korrektur grober Fehler der Verwaltung handelt (ZAK 1988 S. 555 E. 2b). Zweifellos ist die Unrichtigkeit, wenn kein vernünftiger Zweifel daran möglich ist, dass die Verfügung unrichtig war. Es ist nur ein einziger Schluss – derjenige auf die Unrichtigkeit der Verfügung – denkbar. In die- sem Sinne qualifiziert unrichtig ist eine Verfügung, wenn die notwendigen (fachärztlichen) Abklärungen überhaupt nicht oder nicht mit der erforderli- chen Sorgfalt durchgeführt wurden, oder wenn eine Leistung aufgrund fal- scher Rechtsregeln bzw. ohne oder in unrichtiger Anwendung der massge- blichen Bestimmungen zugesprochen wurde. Zurückhaltung bei der An- nahme zweifelloser Unrichtigkeit ist stets dann geboten, wenn der Wieder- erwägungsgrund eine materielle Anspruchsvoraussetzung betrifft, deren Beurteilung massgeblich auf Schätzungen oder Beweiswürdigungen und damit auf Elementen beruht, die notwendigerweise Ermessenszüge auf- weisen. Eine vor dem Hintergrund der seinerzeitigen Sach- und Rechtslage einschliesslich der Rechtspraxis vertretbare Beurteilung der (invaliditäts- mässigen) Anspruchsvoraussetzungen kann nicht zweifellos unrichtig sein (BGE 141 V 405 E. 5.2 S. 414; SVR 2017 UV Nr. 8 S. 28 E. 3.2). 2.4.3 Um wiedererwägungsweise auf eine verfügte Leistung zurückkom- men zu können, genügt es nicht, wenn ein einzelnes Anspruchselement rechtswidrig festgelegt wurde. Vielmehr hat sich die Leistungszusprache auch im Ergebnis als offensichtlich unrichtig zu erweisen. So muss etwa, damit eine zugesprochene Rente wegen einer unkorrekten Invaliditätsbe- messung wiedererwägungsweise aufgehoben werden kann, – nach dama- liger Sach- und Rechtslage – erstellt sein, dass eine korrekte Invaliditäts- bemessung hinsichtlich des Leistungsanspruchs zu einem anderen Ergeb- nis geführt hätte (BGE 140 V 77 E. 3.1 S. 79). 2.4.4 Die Wiedererwägung setzt voraus, dass die Berichtigung der zwei- fellos unrichtigen Verfügung von erheblicher Bedeutung ist. Massgebend für die Beantwortung dieser Frage sind nach der Rechtsprechung die ge-</w:t>
      </w:r>
    </w:p>
    <w:p>
      <w:r>
        <w:t>Urteil des Verwaltungsgerichts des Kantons Bern vom 24. Okt. 2019, IV/19/556, Seite 7 samten Umstände des Einzelfalls, zu denen auch die Zeitspanne gehört, die seit der zu Unrecht erfolgten Leistungsgewährung verstrichen ist. Eine allgemeingültige betragliche Grenze lässt sich allerdings nicht festlegen. Die Höhe des unrechtmässig ausbezahlten Betrages ist dabei insofern von Bedeutung, als das Interesse der Verwaltung an der richtigen Durchführung des objektiven Rechts gegenüber demjenigen an der Rechtssicherheit in der Regel umso weniger ins Gewicht fällt, je geringer die zu Unrecht ausge- richteten Leistungen sind. Bei periodischen Leistungen wird die Erheblich- keit praktisch immer bejaht, während bei punktuellen Leistungen die Gren- ze praxisgemäss bei einigen hundert Franken liegt. Die Voraussetzung der Erheblichkeit der Berichtigung dient im Übrigen der Verwaltungs- und Pro- zessökonomie (BGE 107 V 180 E. 2b S. 182; ARV 2000 S. 211 E. 3b; Ent- scheid des BGer vom 4. Mai 2017, 8C_18/2017, E. 3.2.2). 2.4.5 Bei Vorliegen der Voraussetzungen für ein wiedererwägungsweises Zurückkommen auf eine formell rechtskräftige Verfügung (oder einen for- mell rechtskräftigen Einspracheentscheid) gilt es, mit Wirkung ex nunc et pro futuro einen rechtskonformen Zustand herzustellen (Art. 85 Abs. 2, Art. 88bis Abs. 2 der Verordnung vom 17. Januar 1961 über die Invaliden- versicherung [IVV; SR 831.201]). Die Anspruchsberechtigung und der Um- fang des Anspruchs sind diesfalls pro futuro zu prüfen. Wie bei einer mate- riellen Revision nach Art. 17 Abs. 1 ATSG muss auf der Grundlage eines richtig und vollständig festgestellten Sachverhalts der Invaliditätsgrad im Zeitpunkt der Verfügung (oder des Einspracheentscheides) ermittelt wer- den (BGE 144 I 103 E. 4.4.1 S. 108). Auch mehr als zehn Jahre nach Erlass einer zweifellos unrichtigen Verfü- gung ist die Verwaltung befugt, auf diese wiedererwägungsweise zurück- zukommen (BGE 140 V 514). 3. 3.1 Umstritten ist vorab, ob die Voraussetzungen für eine Wiedererwä- gung gegeben sind. Der Beschwerdeführer bringt diesbezüglich vor, mit Verfügung vom 18. September 2007 sei ihm – nach Einholung eines fachärztlichen Gutachtens und einer gestützt darauf durchgeführten Ein-</w:t>
      </w:r>
    </w:p>
    <w:p>
      <w:r>
        <w:t>Urteil des Verwaltungsgerichts des Kantons Bern vom 24. Okt. 2019, IV/19/556, Seite 8 gliederungsabklärung – eine ganze Rente zugesprochen worden; es seien somit alle notwendigen Abklärungen vorgenommen worden. Im Revisions- verfahren im Jahr 2012 sei die Rente bestätigt worden, nachdem anlässlich einer EFL die Verwertbarkeit einer angepassten Tätigkeit als fraglich be- zeichnet worden sei. Es sei nicht ersichtlich, inwiefern die Berücksichtigung der tatsächlichen Umsetzbarkeit der medizinisch-theoretischen Arbeits- fähigkeit im Lichte der damaligen Rechtspraxis nicht rechtskonform und entsprechend die mit Verfügung vom 18. September 2007 gesprochene und im Jahr 2012 bestätigte Rente zweifellos unrichtig sein sollen (Be- schwerde S. 4 f., Art. 2 Ziff. 8-10). 3.2 3.2.1 Es ist unerheblich, dass die Beschwerdegegnerin im Rahmen der eingeleiteten Rentenrevision im ersten Vorbescheid vom 22. November 2018 die Rentenherabsetzung zunächst sinngemäss mit einem Revisions- grund gemäss Art. 17 ATSG, d.h. mit einer wesentlichen Änderung des IV- Grades, begründete (act. IIA 76), während sie – nach Einwand des Be- schwerdeführers vom 9. Januar 2019 (act. IIA 79) – im neuen Vorbescheid vom 26. April 2019 (act. IIA 83) bzw. in der angefochtenen Verfügung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w:t>
      </w:r>
    </w:p>
    <w:p>
      <w:r>
        <w:t>Urteil des Verwaltungsgerichts des Kantons Bern vom 24. Okt. 2019, IV/19/556, Seite 19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w:t>
      </w:r>
    </w:p>
    <w:p>
      <w:r>
        <w:rPr>
          <w:b/>
        </w:rPr>
        <w:t>E. 6.2</w:t>
      </w:r>
    </w:p>
    <w:p>
      <w:r>
        <w:t>Dem unterliegenden Beschwerdeführer wird keine Parteientschädi- gung zugesprochen (Art. 1 Abs. 1 IVG i.V.m. Art. 61 lit. g ATSG [Umkehr- schluss]).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Oktober 2011, 9C_575/2011, E. 3.3) zu Recht (act. IIA 87 S. 2 f.), eine Aktualisierung der bildgebenden Unterlagen sei nicht zwingend erforderlich gewesen. Beim diesbezüglichen Ermessen der Experten ist auch miteinzubeziehen, dass ein Explorand nicht ohne Not einer mit radiologischen Zusatzabklärungen einhergehenden Strahlenbelastung ausgesetzt werden soll (vgl. WISMÜL- LER/SCHMID/PFEIFER, Risiken einzelner radiologischer Untersuchungsver- fahren, in: LEINSINGER/HAHN [Hrsg.], Indikationen zur bildgebenden Dia- gnostik, 2001, S. 25 ff.). Die MEDAS-Gutachter stützten ihre Befunde be- züglich Handgelenksbeweglichkeit und die anamnestisch beginnende Go- narthrose beidseits nicht allein auf die früheren Röntgenbilder (Beschwerde S. 5, Art. 3 Ziff. 13), sondern insbesondere auf die Erkenntnisse aus der klinischen Exploration (act. IIA 73.1 S. 5); sie berücksichtigten zudem die geltend gemachte Beschwerdesymptomatik im Zumutbarkeitsprofil. Auf das Einholen von fremdanamnestischen Angaben des Handchirurgen (Be- schwerde S. 5, Art. 3 Ziff. 13) durften die Gutachter in pflichtgemässer Er- messensausübung verzichten (Entscheid des BGer vom 19. Oktober 2010, 9C_762/2010, E. 3.1). 4.5 Zusammenfassend ist somit mit überwiegender Wahrscheinlichkeit davon auszugehen, dass dem Beschwerdeführer eine angepasste leichte körperliche Tätigkeit in einem Pensum von 50 % zumutbar ist. 5. 5.1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w:t>
      </w:r>
    </w:p>
    <w:p>
      <w:r>
        <w:t>Urteil des Verwaltungsgerichts des Kantons Bern vom 24. Okt. 2019, IV/19/556, Seite 16 nötigenfalls der Teuerung und der realen Einkommensentwicklung ange- passten Verdienst angeknüpft (BGE 144 I 103 E. 5.3 S. 110, 134 V 322 E. 4.1 S. 325; SVR 2017 IV Nr. 52 S. 157 E. 5.1). 5.2 Hat die versicherte Person nach Eintritt des Gesundheitsschadens keine oder jedenfalls keine ihr an sich zumutbare neue Erwerbstätigkeit aufgenommen, so können nach der Rechtsprechung für die Festsetzung des Invalideneinkommens Tabellenlöhne gemäss den vom Bundesamt für Statistik herausgegebenen Lohnstrukturerhebungen (LSE) herangezogen werden (BGE 143 V 295 E. 2.2 S. 297). Wird auf Tabellenlöhne abgestellt, sind grundsätzlich immer die aktuellsten statistischen Daten zu verwenden (BGE 143 V 295 E. 2.3 S. 297). Da den Tabellenlöhnen generell eine Ar- beitszeit von 40 Wochenstunden zu Grunde liegt, ist eine Umrechnung auf eine betriebsübliche durchschnittliche Wochenarbeitszeit erforderlich (BGE 126 V 75 E. 3b bb S. 76).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2018 IV Nr. 46 S. 148 E. 3.3). Zu beachten ist, dass allfällige bereits in der Beurteilung der medizinischen Arbeitsfähigkeit ent- haltene gesundheitliche Einschränkungen nicht zusätzlich in die Bemes- sung des leidensbedingten Abzugs einfliessen und so zu einer doppelten Anrechnung desselben Gesichtspunkts führen dürfen (SVR 2018 IV Nr. 45 S. 145 E. 2.2).</w:t>
      </w:r>
    </w:p>
    <w:p>
      <w:r>
        <w:t>Urteil des Verwaltungsgerichts des Kantons Bern vom 24. Okt. 2019, IV/19/556, Seite 17 5.3 Die Beschwerdegegnerin berechnete das Valideneinkommen von Fr. 77‘881.-- gestützt auf das in der Verfügung vom 18. September 2007 ermittelte Einkommen von Fr. 67‘850.-- (Valideneinkommen im Jahr 2004 [act. IIA 45.82 S. 5]) und indexierte dieses auf das Jahr 2018. Da der Be- schwerdeführer keine angepasste Tätigkeit aufgenommen hatte, ermittelte die Beschwerdegegnerin das Invalideneinkommen von Fr. 30‘438.-- an- hand der LSE 2016, Tabelle TA1, Total Kompetenzniveau 1, Männer, an- gepasst an die betriebsübliche wöchentliche Arbeitszeit (41.7 Stunden), aufgerechnet auf ein Jahr und indexiert auf das Jahr 2018. Weiter berück- sichtigte sie die Arbeitsfähigkeit von 50 % und einen Abzug vom Tabellen- lohn von 10 % (vgl. E. 5.2 hiervor). Die Ermittlung des Validen- und Invali- deneinkommens wird zu Recht nicht gerügt. 5.4 Im Regelfall ist eine medizinisch attestierte Verbesserung der Ar- beitsfähigkeit – respektive (bei einer wiedererwägungsweisen Rentenauf- hebung) eine vorhandene Arbeitsfähigkeit – grundsätzlich auf dem Weg der Selbsteingliederung verwertbar. Indes können nach langjährigem Renten- bezug ausnahmsweise Erfordernisse des Arbeitsmarktes der sofortigen Anrechnung einer medizinisch vorhandenen Leistungsfähigkeit und medizi- nisch möglichen Leistungsentfaltung entgegenstehen, wenn aus den Akten einwandfrei hervorgeht, dass die Verwertung eines bestimmten Leistungs- potenzials ohne vorgängige Durchführung befähigender Massnahmen al- lein vermittels Eigenanstrengung der versicherten Person nicht möglich ist. Das bedeutet nicht, dass sich die versicherte Person auf eine Besitz- standsgarantie berufen kann, sondern lediglich, dass ihr zugestanden wird, dass ihre Rente erst nach Prüfung und Durchführung von Eingliederungs- massnahmen eingestellt wird. Diese Rechtsprechung ist allerdings auf Fäl- le beschränkt worden, in denen die revisionsweise Rentenaufhebung eine versicherte Person betrifft, welche das 55. Altersjahr zurückgelegt oder die Rente seit mehr als 15 Jahren bezogen hat. Massgeblich für die Bezugs- dauer sind einerseits der Beginn der Rentenberechtigung und anderseits der Erlass der rentenaufhebenden Verfügung (Entscheid des BGer vom 30. November 2015, 9C_524/2015, E. 4.1). Entgegen der Meinung des Beschwerdeführers (Beschwerde S. 6, Art. 3 b Ziff. 16) ist das Zumutbarkeitsprofil des schlüssigen MEDAS-Gutachtens</w:t>
      </w:r>
    </w:p>
    <w:p>
      <w:r>
        <w:t>Urteil des Verwaltungsgerichts des Kantons Bern vom 24. Okt. 2019, IV/19/556, Seite 18 vom 27. September 2018 zu beachten (act. IIA 73.1 S. 8 Ziff. 4.3; vgl. auch act. IIA 87 S. 2), worin hinreichend konkretisiert wird, in welchen Tätigkei- ten er seine Restarbeitsfähigkeit auf dem ausgeglichenen Arbeitsmarkt verwerten könnte. Soweit der Beschwerdeführer sinngemäss die Verwert- barkeit mit dem Hinweis auf den Bericht der Rehaklinik E.________ vom 6. Juni 2012 („Aufgrund der starken und vielfältigen körperlichen Einschrän- kungen ist eine wirtschaftliche verwertbare Arbeitsleistung fraglich“ [act. IIA 45.24 S. 3]) in Frage stellt, kann ihm somit nicht gefolgt werden. Sowohl mit Blick auf das Alter des Beschwerdeführers (Jg. 1976) als auch auf das Zu- mutbarkeitsprofil (vgl. act. IIA 87 S. 2) ist ihm die Verwertung der verbliebe- nen Resterwerbsfähigkeit von 50 % auf dem ausgeglichenen Arbeitsmarkt realistischerweise möglich und zumutbar. Dies bereits durch Selbsteinglie- derung, denn auch wenn der Beschwerdeführer die ganze IV-Rente seit mehr als 15 Jahre bezog, sind die Voraussetzungen der unmittelbaren An- rechenbarkeit erfüllt. Es fehlt an der subjektiven Eingliederungsbereitschaft des Beschwerdeführers (vgl. auch SILVIA BUCHER, Eingliederungsrecht der Invalidenversicherung, 2011, Rz. 124 f. [zum Erfordernis der objektiven und subjektiven Eingliederungsfähigkeit der versicherten Person]), sieht er sich doch selbst als vollständig arbeitsunfähig, weshalb auch die MEDAS- Gutachter berufliche Massnahmen nicht empfahlen (act. IIA 73.1 S. 10 Ziff. 4.10.2; vgl. auch act. IIA 73.1 S. 24, 31, 48 Ziff. 3.2). 5.5 Bei einem ermittelten Valideneinkommen von Fr. 77‘881.-- und ei- nem Invalideneinkommen von Fr. 30‘438.-- resultiert eine Einbusse von Fr. 47‘443.--, somit liegt ein Invaliditätsgrad von 61 % vor (act. IIA 87 S. 3). Die angefochtene Verfügung vom 12. Juni 2019 (act. IIA 87), mit welcher die Beschwerdegegnerin die ganze IV-Rente per Ende Juli 2019 auf eine Dreiviertelsrente herabsetzte (Art. 88bis Abs. 2 lit. a IVV), ist nicht zu bean- standen und die dagegen erhobene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