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500 vom 19. September 2019</w:t>
      </w:r>
    </w:p>
    <w:p>
      <w:r>
        <w:t>BE Verwaltungsgericht, 2019-09-19, DE</w:t>
      </w:r>
    </w:p>
    <w:p>
      <w:r>
        <w:rPr>
          <w:b/>
        </w:rPr>
        <w:t xml:space="preserve">Quelle: </w:t>
      </w:r>
      <w:r>
        <w:t>https://mcp.opencaselaw.ch/entscheid/be_verwaltungsgericht_200_2019_500</w:t>
      </w:r>
    </w:p>
    <w:p>
      <w:r>
        <w:t>FR: BE_VERWALTUNGSGERICHT 200 2019 500 du 19 septembre 2019</w:t>
      </w:r>
    </w:p>
    <w:p>
      <w:r>
        <w:t>IT: BE_VERWALTUNGSGERICHT 200 2019 500 del 19 settembre 2019</w:t>
      </w:r>
    </w:p>
    <w:p>
      <w:pPr>
        <w:pStyle w:val="Heading2"/>
      </w:pPr>
      <w:r>
        <w:t>Regeste</w:t>
      </w:r>
    </w:p>
    <w:p>
      <w:r>
        <w:t>Einspracheentscheid vom 6. Juni 2019</w:t>
      </w:r>
    </w:p>
    <w:p>
      <w:pPr>
        <w:pStyle w:val="Heading2"/>
      </w:pPr>
      <w:r>
        <w:t>Erwägungen</w:t>
      </w:r>
    </w:p>
    <w:p>
      <w:r>
        <w:rPr>
          <w:b/>
        </w:rPr>
        <w:t>E. 1</w:t>
      </w:r>
    </w:p>
    <w:p>
      <w:r>
        <w:t>i.V.m. Art. 32 des kantonalen Gesetzes vom 23. Mai 1989 über die Ver- waltungsrechtspflege [VRPG; BSG 155.21]) eingehalten sind, ist auf die Beschwerde einzutreten.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w:t>
      </w:r>
    </w:p>
    <w:p>
      <w:r>
        <w:rPr>
          <w:b/>
        </w:rPr>
        <w:t>E. 1.2</w:t>
      </w:r>
    </w:p>
    <w:p>
      <w:r>
        <w:t>Anfechtungsobjekt bildet der Einspracheentscheid vom 6. Juni 2019 (act. IIA 17-20). Streitig und zu prüfen ist der Anspruch auf Arbeitslosen- entschädigung.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19. Sept. 2019, ALV/19/500, Seite 4</w:t>
      </w:r>
    </w:p>
    <w:p>
      <w:r>
        <w:rPr>
          <w:b/>
        </w:rPr>
        <w:t>E. 2</w:t>
      </w:r>
    </w:p>
    <w:p>
      <w:r>
        <w:t>wenn sie für die Erteilung der betreffenden Auskunft zuständig war oder wenn die rechtsuchende Person die Behörde aus zureichenden Gründen als zustän- dig betrachten durfte;</w:t>
      </w:r>
    </w:p>
    <w:p>
      <w:r>
        <w:rPr>
          <w:b/>
        </w:rPr>
        <w:t>E. 2.1</w:t>
      </w:r>
    </w:p>
    <w:p>
      <w:r>
        <w:t>Gemäss Art. 9 Abs. 1 AVIG gelten für den Leistungsbezug und für die Beitragszeit grundsätzlich zweijährige Rahmenfristen. Die Rahmenfrist für den Leistungsbezug beginnt mit dem ersten Tag, für den sämtliche An- spruchsvoraussetzungen erfüllt sind (Art. 9 Abs. 2 AVIG). Die Rahmenfrist für die Beitragszeit beginnt zwei Jahre vor diesem Tag (Art. 9 Abs. 3 AVIG).</w:t>
      </w:r>
    </w:p>
    <w:p>
      <w:r>
        <w:rPr>
          <w:b/>
        </w:rPr>
        <w:t>E. 2.2</w:t>
      </w:r>
    </w:p>
    <w:p>
      <w:r>
        <w:t>Nach Art. 13 Abs. 1 AVIG erfüllt die Beitragszeit, wer innerhalb der Rahmenfrist (Art. 9 Abs. 3 AVIG) während mindestens zwölf Monaten eine beitragspflichtige Beschäftigung ausgeübt hat. Gemäss dem vom Staatssekretariat für Wirtschaft (SECO) herausgegebe- nen Kreisschreiben AVIG-Praxis ALE (abrufbar unter &lt;www.arbeit.swiss&gt;, Rubrik: Arbeitgeber/Publikationen/Kreisschreiben/AVIG-Praxis) kommt es für die Bestimmung der Beitragszeit auf die Dauer des Arbeitsverhältnisses an. Ein beendigtes Arbeitsverhältnis wird durch die Auszahlung einer Ent- schädigung für nicht bezogene Ferien weder verlängert, noch darf diese in Beitragstage umgerechnet und an die Beitragszeit angerechnet werden (AVIG-Praxis ALE, B159).</w:t>
      </w:r>
    </w:p>
    <w:p>
      <w:r>
        <w:rPr>
          <w:b/>
        </w:rPr>
        <w:t>E. 2.3.1</w:t>
      </w:r>
    </w:p>
    <w:p>
      <w:r>
        <w:t>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Bundesgericht {BGer}] vom 14. De- zember 2004, H 157/04, E. 3.3.1).</w:t>
      </w:r>
    </w:p>
    <w:p>
      <w:r>
        <w:t>Urteil des Verwaltungsgerichts des Kantons Bern vom 19. Sept. 2019, ALV/19/500, Seite 5</w:t>
      </w:r>
    </w:p>
    <w:p>
      <w:r>
        <w:rPr>
          <w:b/>
        </w:rPr>
        <w:t>E. 2.3.2</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143 V 341 E. 5.2.1 S. 346, 131 V 472 E. 5 S. 480) ist dies der Fall, 1. wenn die Behörde in einer konkreten Situation mit Bezug auf bestimmte Perso- nen gehandelt hat;</w:t>
      </w:r>
    </w:p>
    <w:p>
      <w:r>
        <w:rPr>
          <w:b/>
        </w:rPr>
        <w:t>E. 2.3.3</w:t>
      </w:r>
    </w:p>
    <w:p>
      <w:r>
        <w:t>Ein von der Verwaltung herausgegebenes fehlerhaftes Merkblatt vermag in der Regel keine vom materiellen Recht abweichende Behand- lung zu begründen, weil es sich an einen unbestimmten Adressatenkreis richtet und eine Vielzahl von Sachverhalten betrifft (BGE 109 V 52 E. 3b S. 55; ZAK 1989 S. 162 E. 5d). Dagegen ist ein individuelles, im Detail die Einzelleistungen aufführendes Leistungsblatt geeignet, bei den Versicher- ten ein berechtigtes Vertrauen in den Bestand der Leistungen zu erwecken (SZS 1991 S. 92). Auch einer versicherten Person, der eine konkrete – falsche – Auskunft erteilt wurde, kann nicht einfach entgegengehalten wer- den, aufgrund des allgemeinen Leitfadens hätte sie wissen müssen, wie es sich rechtens verhalte (ARV 1990 S. 109 E. 3b). 3.</w:t>
      </w:r>
    </w:p>
    <w:p>
      <w:r>
        <w:rPr>
          <w:b/>
        </w:rPr>
        <w:t>E. 3</w:t>
      </w:r>
    </w:p>
    <w:p>
      <w:r>
        <w:t>wenn die Person die Unrichtigkeit der Auskunft nicht ohne weiteres erkennen konnte;</w:t>
      </w:r>
    </w:p>
    <w:p>
      <w:r>
        <w:rPr>
          <w:b/>
        </w:rPr>
        <w:t>E. 3.1</w:t>
      </w:r>
    </w:p>
    <w:p>
      <w:r>
        <w:t>Zu prüfen ist der Anspruch auf Taggelder der Arbeitslosenversiche- rung.</w:t>
      </w:r>
    </w:p>
    <w:p>
      <w:r>
        <w:t>Urteil des Verwaltungsgerichts des Kantons Bern vom 19. Sept. 2019, ALV/19/500, Seite 6</w:t>
      </w:r>
    </w:p>
    <w:p>
      <w:r>
        <w:rPr>
          <w:b/>
        </w:rPr>
        <w:t>E. 3.2</w:t>
      </w:r>
    </w:p>
    <w:p>
      <w:r>
        <w:t>Nachdem sich die Beschwerdeführerin am 29. April 2019 zur Ar- beitsvermittlung und zum Bezug von Taggeldern angemeldet hatte (act. IIA 51-56), legte der Beschwerdegegner die Rahmenfrist für die Beitragszeit zu Recht auf die Zeitspanne zwischen dem 29. April 2017 und dem 28. April 2019 fest (act. IIA 18 und 84; E. 2.1. hiervor). Während dieser Zeit übte die Beschwerdeführerin lediglich eine beitragspflichtige Beschäftigung von elf Monaten aus, erfolgte die Kündigung doch auf Ende März 2018 (act. IIA 74). Erstellt (act. IIA 73) und nicht bestritten ist, dass der Beschwerdeführe- rin im April 2018 die Erfolgsbeteiligung für die Zeit vom 1. Januar 2018 bis zum 31. März 2018 sowie im Mai 2018 die Erfolgsbeteiligung für das ganze Jahr 2017 ausbezahlt wurde, worauf ebenfalls Beiträge an die Arbeitslo- senkasse zu entrichten waren. Diese Auszahlungen sind jedoch nicht Be- leg für weitere Beitragszeit und stellen keine noch nicht berücksichtigte beitragspflichtige Beschäftigung dar, weil nicht der Zeitpunkt der effektiven Lohnzahlung massgebend ist, sondern die Dauer des dieser zu Grunde liegenden Arbeitsverhältnisses (E. 2.2 hiervor). In der Folge besteht man- gels genügender Beitragszeit kein Anspruch auf Arbeitslosentaggelder.</w:t>
      </w:r>
    </w:p>
    <w:p>
      <w:r>
        <w:rPr>
          <w:b/>
        </w:rPr>
        <w:t>E. 3.3</w:t>
      </w:r>
    </w:p>
    <w:p>
      <w:r>
        <w:t>Die Beschwerdeführerin bringt in der Beschwerde (S. 1) vor, sie habe nach ihrer letzten Beschäftigung eine „Berufspause“ eingelegt und sich vorher mit Hilfe zweier offizieller Broschüren der Organe der Arbeitslo- senversicherung über die Beitragszeit informiert; die dort genannten (ver- schiedenen) Voraussetzungen würde sie erfüllen. Sie beruft sich damit auf den Vertrauensschutz.</w:t>
      </w:r>
    </w:p>
    <w:p>
      <w:r>
        <w:rPr>
          <w:b/>
        </w:rPr>
        <w:t>E. 3.3.1</w:t>
      </w:r>
    </w:p>
    <w:p>
      <w:r>
        <w:t>Vorliegend hat keine Behörde in einer konkreten Situation mit Be- zug auf eine bestimmte Person, d.h. gegenüber der Beschwerdeführerin, eine konkrete Auskunft erteilt, womit der Vertrauensschutz gestützt auf eine Bindung an falsche Auskünfte ausser Betracht fällt (vgl. E. 2.3.2 hiervor).</w:t>
      </w:r>
    </w:p>
    <w:p>
      <w:r>
        <w:rPr>
          <w:b/>
        </w:rPr>
        <w:t>E. 3.3.2</w:t>
      </w:r>
    </w:p>
    <w:p>
      <w:r>
        <w:t>Die Beschwerdeführerin bringt vor, sie habe sich auf die Angaben in zwei Broschüren verlassen (Beschwerde S. 1). Soweit es sich um die Bro- schüre „Ein Leitfaden für Versicherte vor Arbeitslosigkeit“ handelt (act. IIA 22 i.V.m. act. IIA 25), liegt keine fehlerhafte Information vor, denn es ist allein von „Beitragszeit“ die Rede (act. IIA 22), ohne dass dies näher um- schrieben würde. Die notwendige Beitragszeit hat sie jedoch nicht erfüllt (vgl. E. 3.2 hiervor).</w:t>
      </w:r>
    </w:p>
    <w:p>
      <w:r>
        <w:t>Urteil des Verwaltungsgerichts des Kantons Bern vom 19. Sept. 2019, ALV/19/500, Seite 7</w:t>
      </w:r>
    </w:p>
    <w:p>
      <w:r>
        <w:rPr>
          <w:b/>
        </w:rPr>
        <w:t>E. 3.3.3</w:t>
      </w:r>
    </w:p>
    <w:p>
      <w:r>
        <w:t>Die Beschwerdeführerin kann auch aus der Formulierung in der Broschüre „RAV Kundeninformation“ (act. IIA 23 i.V.m. act. IIA 25) keine Rechte ableiten. Darin wird unter dem Titel „Kurz erklärt“ „Beitragszeit“ ausgeführt: „Sie müssen innerhalb der letzten zwei Jahre vor Arbeitslosig- keit während mindestens 12 Monaten Beiträge an die Arbeitslosenversiche- rung bezahlt haben“ (act. II 23; diese Formulierung findet sich auch in der aktuell geltenden Broschüre [https://www.vol.be.ch/vol/de/index/arbeit /ar- beitslosig- keit/vorgehen_arbeitslosigkeit.assetref/dam/documents/VOL/BECO/de/Arb eit/beco-arbeit-rav-an-infobroschuere_DE.pdf]). Dies kann tatsächlich so verstanden werden, wie es die Beschwerdeführerin tat. Jedoch lag hier keine individuell konkrete Zusage vor, die eine Abweichung vom materiel- len Recht möglich machen würde (E. 2.3.2 hiervor), sondern ein Merkblatt, das sich an einen unbestimmten Adressatenkreis richtet und eine Vielzahl von Sachverhalten erfasst (E. 2.3.3 hiervor; vgl. Entscheid des BGer vom 29. Januar 2009, 8C_1004/2008, E. 3.2), weshalb sie auch aus der Infor- mation in dieser Broschüre nichts zu ihren Gunsten ableiten kann. Dies umso weniger, als die hierzu vorliegende besondere Konstellation offen- sichtlich im Merkblatt nicht direkt abgebildet ist und in der Broschüre aus- drücklich aufgeführt wird, bei konkreten Fragen sei die Arbeitslosenkasse zu kontaktieren.</w:t>
      </w:r>
    </w:p>
    <w:p>
      <w:r>
        <w:rPr>
          <w:b/>
        </w:rPr>
        <w:t>E. 3.4</w:t>
      </w:r>
    </w:p>
    <w:p>
      <w:r>
        <w:t>Nach dem Dargelegten erweist sich der angefochtene Einspra- cheentscheid vom 6. Juni 2019 (act. IIA 17-20) als rechtens und die dage- gen erhobene Beschwerde ist abzuweisen. Die Rechtslage lässt keinen anderen Entscheid zu. 4.</w:t>
      </w:r>
    </w:p>
    <w:p>
      <w:r>
        <w:rPr>
          <w:b/>
        </w:rPr>
        <w:t>E. 4</w:t>
      </w:r>
    </w:p>
    <w:p>
      <w:r>
        <w:t>wenn sie im Vertrauen auf die Richtigkeit der Auskunft Dispositionen getroffen hat, die nicht ohne Nachteil rückgängig gemacht werden können, und</w:t>
      </w:r>
    </w:p>
    <w:p>
      <w:r>
        <w:rPr>
          <w:b/>
        </w:rPr>
        <w:t>E. 4.1</w:t>
      </w:r>
    </w:p>
    <w:p>
      <w:r>
        <w:t>In Anwendung von Art. 1 Abs. 1 AVIG i.V.m. Art. 61 lit. a ATSG sind keine Verfahrenskosten zu erheben.</w:t>
      </w:r>
    </w:p>
    <w:p>
      <w:r>
        <w:rPr>
          <w:b/>
        </w:rPr>
        <w:t>E. 4.2</w:t>
      </w:r>
    </w:p>
    <w:p>
      <w:r>
        <w:t>Bei diesem Ausgang des Verfahrens besteht kein Anspruch auf eine Parteientschädigung (Art. 1 Abs. 1 AVIG i.V.m. Art. 61 lit. g ATSG [Um- kehrschluss]).</w:t>
      </w:r>
    </w:p>
    <w:p>
      <w:r>
        <w:t>Urteil des Verwaltungsgerichts des Kantons Bern vom 19. Sept. 2019, ALV/19/500, Seite 8 Demnach entscheidet das Verwaltungsgericht:</w:t>
      </w:r>
    </w:p>
    <w:p>
      <w:r>
        <w:rPr>
          <w:b/>
        </w:rPr>
        <w:t>E. 5</w:t>
      </w:r>
    </w:p>
    <w:p>
      <w:r>
        <w:t>wenn die gesetzliche Ordnung seit der Auskunftserteilung keine Änderung er- fahren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