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424 vom 29. April 2019</w:t>
      </w:r>
    </w:p>
    <w:p>
      <w:r>
        <w:t>BE Verwaltungsgericht, 2019-04-29, DE</w:t>
      </w:r>
    </w:p>
    <w:p>
      <w:r>
        <w:rPr>
          <w:b/>
        </w:rPr>
        <w:t xml:space="preserve">Quelle: </w:t>
      </w:r>
      <w:r>
        <w:t>https://mcp.opencaselaw.ch/entscheid/be_verwaltungsgericht_200_2019_424</w:t>
      </w:r>
    </w:p>
    <w:p>
      <w:r>
        <w:t>FR: BE_VERWALTUNGSGERICHT 200 2019 424 du 29 avril 2019</w:t>
      </w:r>
    </w:p>
    <w:p>
      <w:r>
        <w:t>IT: BE_VERWALTUNGSGERICHT 200 2019 424 del 29 aprile 2019</w:t>
      </w:r>
    </w:p>
    <w:p>
      <w:pPr>
        <w:pStyle w:val="Heading2"/>
      </w:pPr>
      <w:r>
        <w:t>Regeste</w:t>
      </w:r>
    </w:p>
    <w:p>
      <w:r>
        <w:t>Verfügung vom 29. April 2019</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18. Juli 2019, IV/19/424, Seite 4 Verwaltungsgerichts beurteilt gemäss Art. 57 des Bundesgesetzes vom</w:t>
      </w:r>
    </w:p>
    <w:p>
      <w:r>
        <w:rPr>
          <w:b/>
        </w:rPr>
        <w:t>E. 1.2</w:t>
      </w:r>
    </w:p>
    <w:p>
      <w:r>
        <w:t>Anfechtungsobjekt bildet die Zwischenverfügung vom 29. April 2019 (act. II 141). Streitig und zu prüfen ist, ob die IVB die Dres. med. D.________ und C.________ für die vom Gericht angeordnete Verlaufsbe- gutachtung beauftragen darf.</w:t>
      </w:r>
    </w:p>
    <w:p>
      <w:r>
        <w:t>Urteil des Verwaltungsgerichts des Kantons Bern vom 18. Juli 2019, IV/19/424, Seite 5</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 2.1.1 Die IV-Stelle teilt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w:t>
      </w:r>
    </w:p>
    <w:p>
      <w:r>
        <w:t>Urteil des Verwaltungsgerichts des Kantons Bern vom 18. Juli 2019, IV/19/424, Seite 6 2.1.2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der Disziplinen) und die Person der Gutachter (BGE 139 V 349 E. 5.2.2.3 S. 356). 2.2 Für Sachverständige gelten grundsätzlich die gleichen Ausstands- und Ablehnungsgründe, wie sie für Richterinnen und Richter vorgesehen sind. Befangenheit ist demnach anzunehmen, wenn Umstände vorliegen, die geeignet sind, Misstrauen in die Unparteilichkeit zu erwecken (BGE 132 V 93 E. 7.1 S. 109; SVR 2018 UV Nr. 28 S. 98 E. 3.1). Der Umstand, dass sich ein Sachverständiger schon einmal mit einer Per- son befasst hat, schliesst später dessen Beizug als Gutachter nicht zum Vornherein aus. Eine unzulässige Vorbefassung liegt auch dann nicht vor, wenn er zu (für eine Partei) ungünstigen Schlussfolgerungen gelangt. An- deres gilt, wenn Umstände vorliegen, die den Anschein der Befangenheit und die Gefahr der Voreingenommenheit objektiv zu begründen vermögen, etwa wenn die sachverständige Person ihren Bericht nicht neutral und sachlich abfasste (BGE 132 V 93 E. 7.2.2 S. 110; SVR 2017 IV Nr. 27 S. 78 E. 5.2). Voreingenommenheit trotz Vorbefassung ist zu verneinen, wenn das Ergebnis der Begutachtung nach wie vor als offen und nicht vorbe- stimmt erscheint. Dies ist beispielsweise der Fall, wenn der Experte andere Fragen zu beantworten oder sein erstes Gutachten lediglich zu erläutern oder zu ergänzen hat, nicht aber, wenn er die Schlüssigkeit seiner früheren Expertise zu überprüfen hat (SVR 2013 IV Nr. 30 S. 90 E. 5.3.2). Nach gefestigter Rechtsprechung führen der regelmässige Beizug eines Gutachters oder einer Begutachtungsinstitution durch den Versicherungs- träger, die Anzahl der beim selben Arzt in Auftrag gegebenen Gutachten und Berichte sowie das daraus resultierende Honorarvolumen für sich al- lein genommen nicht zum Ausstand (BGE 137 V 210 E. 1.3.3 S. 227; SVR 2017 IV Nr. 7 S. 20 E. 4.2). Entscheidend ist, dass fachlich-inhaltlich eine Weisungsunabhängigkeit der begutachtenden Ärzte besteht (Entscheid des Eidgenössischen Versicherungsgerichts [EVG; heute Bundesgericht {BGer}] vom 20. Juni 2007, I 885/06, E. 5.1).</w:t>
      </w:r>
    </w:p>
    <w:p>
      <w:r>
        <w:t>Urteil des Verwaltungsgerichts des Kantons Bern vom 18. Juli 2019, IV/19/424, Seite 7 3. 3.1 Es ist zu Recht unbestritten, dass ein rheumatologisch- psychiatrisches Verlaufsgutachten erforderlich ist (vgl. E. 3.2 hiernach); ebenfalls unstrittig ist der Fragekatalog. Demgegenüber lehnt der Beschwerdeführer die Begutachtung durch die Dres. med. D.________ und C.________ ab. Diese beiden Experten er- stellten die Gutachten vom 22. und 27. Oktober 2014 (act. II 48.1, 49.1) bzw. die interdisziplinäre Beurteilung vom 27. Oktober 2014 (act. II 48.2, 49.2), wonach dem Beschwerdeführer körperlich schwergradig belastende Tätigkeiten nicht mehr zumutbar gewesen seien, wogegen in der berufli- chen Tätigkeit als …, welche die Gutachter als leicht- bis mittelschwer ein- stuften, nie anhaltende Einschränkungen in der Arbeitsfähigkeit bestanden hätten. Diese Einschätzung wurde vom Verwaltungsgericht mit Urteil vom 8. Sep- tember 2016, IV/2015/…, als widerspruchsfrei und nachvollziehbar begrün- det erachtet (act. II 87 S. 12 f. E. 3.4). Dies wurde im damaligen Beschwer- deverfahren auch vom Beschwerdeführer nicht bestritten. Vielmehr machte er geltend, das interdisziplinäre Gutachten sei nicht mehr aktuell, weil den Gutachtern Dres. med. D.________ und C.________ das MRI vom 12. Fe- bruar 2015 nicht vorgelegen habe und damit nicht alle relevanten Befunde und Beschwerden ihre Berücksichtigung gefunden hätten (act. II 77 S. 7 Ziff. 3.2). Insoweit ist festzustellen, dass der Beschwerdeführer im damali- gen Verfahren einzig die Aktualität des Gutachtens und nicht dagegen die persönliche Integrität und fachliche Kompetenz der beiden Gutachter oder – mit Bezug auf den dem Gutachten zugrunde liegenden medizinischen Wissensstand – die Qualität des Gutachtens beanstandete. Darauf muss sich der Beschwerdeführer behaften lassen, worauf die Beschwerdegegne- rin zutreffend hinweist (vgl. Beschwerdeantwort S. 2 f. Ziff. 4). 3.2 Das Verwaltungsgericht verpflichtete mit Urteil vom 6. September 2018, IV/2017/…, die IVB zur Vervollständigung der medizinischen Akten und zur Anordnung einer fachärztlichen Begutachtung, wobei insbesondere explizit die Frage der Entwicklung des Gesundheitszustands im Vergleich zur letzten Beurteilung im Jahr 2014 zu beantworten sein werde (act. II 119</w:t>
      </w:r>
    </w:p>
    <w:p>
      <w:r>
        <w:t>Urteil des Verwaltungsgerichts des Kantons Bern vom 18. Juli 2019, IV/19/424, Seite 8 S. 14 E. 3.6). Zutreffend erkannte der Arzt des RAD Dr. med. E.________, Facharzt für Allgemeine Innere Medizin, dass im Rahmen der Verlaufsbe- gutachtung insbesondere der Frage nachzugehen ist, ob mit dem Hinzutre- ten der neu diagnostizierten Arthrose am rechten Knie seit der letzten Be- gutachtung eine wesentliche Änderung des Gesundheitszustandes einge- treten ist und damit ein Revisionsgrund vorliegt. Als medizinische Refe- renzgrundlage erachtete er das interdisziplinäre Gutachten der Dres. med. D.________ und C.________ (act. II 130), womit sich die von ihm vorge- schlagene Nachbegutachtung bei eben diesen Gutachtern als sachlogisch nachvollziehbar begründet erweist. Soweit der Beschwerdeführer anfänglich auch noch eine neurologische Begutachtung beantragte (act. II 137 S. 1), ist festzustellen, dass er an die- sem Antrag nicht mehr festhält und mit der Stellungnahme des RAD vom 24. April 2019 (act. II 140 S. 2 f.) nachvollziehbar begründet wird, weshalb es den Einschluss dieser Disziplin nicht bedarf. So führte Dr. med. E.________ aus, sowohl die Anmeldung bei der IV im Dezember 2013 als auch die aktuelle beziehe sich nicht auf eine neurologische Störung. Auch die Ausführungen des behandelnden Arztes Dr. med. ________, Facharzt für Allgemeine Innere Medizin und Rheumatologie, im Bericht vom 15. Fe- bruar 2019 (act. II 128 S. 6-8) sprächen nicht für eine Einschränkung durch ein neurologisches Leiden; abgesehen von einem abgeschwächten Vibrati- onssinn (im Bereich der unteren Extremitäten), welcher nicht von Leis- tungsrelevanz sei, erhebe dieser keine pathologisch neurologischen Be- funde. Eine fachärztlich gestellte neurologische Diagnose oder gar eine neurologische Störung von Leistungsrelevanz sei nicht aufgeführt. Die Tat- sache, dass bisher keine neurologische Abklärung oder Behandlung erfor- derlich gewesen sei, sowie die fehlende Befundlage schlössen ein ein- schränkendes neurologisches Leiden aus. Eine gelegentlich festgestellte Erhöhung der Serum-Creatinphosphokinase (CPK) stelle ohne entspre- chendes Korrelat mit einschränkendem Charakter einen hinsichtlich des Leistungsvermögens belanglosen Laborbefund dar. 3.3 Der Umstand, dass die Dres. med. D.________ und C.________ den Beschwerdeführer im August bzw. Oktober 2014 (act. II 48.1 S. 1, act. II 49.1 S. 1) bereits einmal begutachtet haben, begründet</w:t>
      </w:r>
    </w:p>
    <w:p>
      <w:r>
        <w:t>Urteil des Verwaltungsgerichts des Kantons Bern vom 18. Juli 2019, IV/19/424, Seite 9 praxisgemäss nicht den Anschein der Befangenheit (vgl. Entscheid des BGer vom 7. September 2018, 9C_457/2018, E. 3.2) und schliesst deren erneuten Beizug als Gutachter nicht zum Vornherein aus. Entscheidend ist, dass das Ergebnis der Abklärung nach wie vor als offen und nicht vorbestimmt erscheint (Entscheid des BGer vom 30. November 2017, 9C_731/2017, E. 3.1). Entgegen der Auffassung des Beschwerdeführers ist dies vorliegend der Fall. Im Urteil vom 8. September 2016, IV/2016/…, hielt das Verwaltungsgericht fest, dass die Expertisen der Dres. med. C.________ und D.________ vom 22. und 27. Oktober 2014 (act. II 48.1, act. II 49.1) die höchstrichterlichen Anforderungen an Gutachten erfüllen und voll beweiskräftig sind (act. II 87 S. 12 E. 3.4). Damit verneinte es (im- plizit), dass die Gutachter ihre Einschätzungen nicht neutral und sachlich abgefasst haben, ebenso verneinte es damit (implizit) Anhaltspunkte für eine allfällige Voreingenommenheit der Gutachter. Der Einwand, die Be- gutachtungen seien nicht lege artis erfolgt, zielt ins Leere. Hinzu kommt, dass die Gutachter nunmehr nicht die Schlüssigkeit ihrer früheren Beurteilungen zu überprüfen oder objektiv zu kontrollieren haben (vgl. BGer 9C_731/2017, E. 3.1), sondern insbesondere die Entwicklung des Gesundheitszustandes des Beschwerdeführers für die Zeit nach den Begutachtungen im August bzw. Oktober 2014 darzulegen und zu beurteilen haben werden. Unter diesen Umständen ist mit der Beschwerdegegnerin festzuhalten, dass es somit sachgerecht ist und es den Erkenntniswert erhöhen kann, wenn die seitherige gesundheitliche Entwicklung von den mit dem Fall bereits vertrauten medizinischen Vorgut- achtern abgeklärt wird (Entscheid des BGer vom 21. Januar 2016, 8C_665/2015, E. 4.2), d.h. es sinnvoll ist, die bereits mit dem Beschwerde- führer befassten Gutachter zur Entwicklung des Beschwerdebildes und der Arbeitsfähigkeit zu befragen (vgl. BGE 132 V 93 E. 7.2.2 S. 110). Sodann stellt der Umstand, dass ein frei praktizierender Arzt von einer Versiche- rung wiederholt für die Erstellung von Gutachten beigezogen wird, recht- sprechungsgemäss keinen Ausstands- oder Ablehnungsgrund dar (Ent- scheid des BGer vom 8. April 2009, 8C_924/2008, E. 3.2), wovon abzurü- cken vorliegend kein Anlass besteht, zumal keine Anzeichen für eine fach- lich-inhaltliche Weisungsabhängigkeit bestehen (vgl. E. 2.2 hiervor) und dergleichen vom Beschwerdeführer auch nicht rechtsgenüglich geltend gemacht wird.</w:t>
      </w:r>
    </w:p>
    <w:p>
      <w:r>
        <w:t>Urteil des Verwaltungsgerichts des Kantons Bern vom 18. Juli 2019, IV/19/424, Seite 10 3.4 Die Argumentation des Beschwerdeführers, die Gutachter seien vorbefasst, weshalb sich die Verlaufsbegutachtung als nicht mehr ergeb- nisoffen erweise, überzeugt nicht bloss aufgrund der hierzu ergangenen Rechtsprechung (wiederholte Gutachtenstätigkeit und wirtschaftliche Ab- hängigkeit; vgl. E. 2.2 und E. 3.3 hiervor) nicht. Denn in erster Linie wird nämlich der rheumatologische Gutachter im Sinne der gerichtlichen Anordnung zu klären haben, ob im Umstand der neu diagnostizierten Kniegelenksarthrose eine wesentliche Veränderung und damit ein Revisionsgrund ausgewiesen ist. Wird er dies bejahen, wird seine frühere Einschätzung, gestützt auf die Röntgenbefunde vom 12. Juni 2013 getroffene Einschätzung (act. II 49.1 S. 14) keine Gültigkeit mehr haben und eine Neubeurteilung erfolgen (vgl. BGE 141 V 9 E. 2.3 S. 11, 117 V 198 E. 4b S. 200; SVR 2017 IV Nr. 40 S. 122 E. 5.2.2). Kommt er dagegen zum Schluss, dass die nunmehr am rechten Knie erhobenen Befunde mit Bezug auf das früher definierte Zumutbarkeitsprofil unwesentlich sind, wäre ein Revisionsgrund nicht ausgewiesen, was einer freien Überprüfung des Sachverhalts entgegenstände (vgl. BGE 117 V 198 E. 3a S. 198; SVR 2008 IV Nr. 35 S. 117 E. 2.1). Von einer Vorbefassung kann demnach in der vorliegend gegebenen Konstellation keine Rede sein. 3.5 Schliesslich ist der Beschwerdeführer aufgrund der zuvor gemach- ten Feststellungen (vgl. E. 3.2 f. hiervor) nicht zu hören, wenn er nunmehr – nach seinerzeit durchlaufenem Gerichtsverfahren – erstmals Einwendun- gen gegen die Korrektheit der 2014 erfolgten Begutachtungen und die Inte- grität der damaligen Gutachter geltend macht. Dabei handelt es sich viel- mehr um verspätet vorgetragene Gutachtenskritik, mit welcher im Interesse des anvisierten Prozesserfolges eine sachlich nicht begründbare Diskredi- tierung der beiden vorgeschlagenen Gutachter erfolgen soll, was sich in prozessualer Hinsicht als unredlich erweist. 3.6 Nach dem Dargelegten ist nicht zu beanstanden, dass die Be- schwerdegegnerin mit Verfügung vom 29. April 2019 (act. II 141) an der geplanten Begutachtung durch die Dres. med. D.________ und C.________ festgehalten hat. Die dagegen erhobene Beschwerde ist ab- zuweisen.</w:t>
      </w:r>
    </w:p>
    <w:p>
      <w:r>
        <w:t>Urteil des Verwaltungsgerichts des Kantons Bern vom 18. Juli 2019, IV/19/424, Seite 11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werden entspre- chend dem Ausgang des Verfahrens dem Beschwerdeführer zur Bezah- lung auferlegt und dem geleisteten Kostenvorschuss in gleicher Höhe ent- nommen. 4.2 Bei diesem Ausgang des Verfahrens hat weder der Beschwerde- führer (Umkehrschluss aus Art. 1 Abs. 1 IVG i.V.m. Art. 61 lit. g ATSG) noch die obsiegende Beschwerdegegnerin als öffentlich-rechtliche Anstalt des Kantons Bern einen Anspruch auf eine Parteientschädigung (Art. 104 Abs. 3 VRPG).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Bei der angefochtenen Verfügung, welche die Anordnung einer medizini- schen Expertise zum Inhalt hat, handelt es sich – da sie das Administrativ- verfahren nicht abschliesst – um eine selbstständig eröffnete Zwischenver- fügung (Art. 55 Abs. 1 ATSG i.V.m. Art. 5 Abs. 2 und Art. 46 des Bundes- gesetzes vom 20. Dezember 1968 über das Verwaltungsverfahren [VwVG;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 den kann (BGE 138 V 271 S. 275 E. 1.2.1 sowie S. 276 E. 1.2.3, 137 V 210 E. 3.4.2.7 S. 256).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