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370 vom 4. September 2019</w:t>
      </w:r>
    </w:p>
    <w:p>
      <w:r>
        <w:t>BE Verwaltungsgericht, 2019-09-04, DE</w:t>
      </w:r>
    </w:p>
    <w:p>
      <w:r>
        <w:rPr>
          <w:b/>
        </w:rPr>
        <w:t xml:space="preserve">Quelle: </w:t>
      </w:r>
      <w:r>
        <w:t>https://mcp.opencaselaw.ch/entscheid/be_verwaltungsgericht_200_2019_370</w:t>
      </w:r>
    </w:p>
    <w:p>
      <w:r>
        <w:t>FR: BE_VERWALTUNGSGERICHT 200 2019 370 du 4 septembre 2019</w:t>
      </w:r>
    </w:p>
    <w:p>
      <w:r>
        <w:t>IT: BE_VERWALTUNGSGERICHT 200 2019 370 del 4 settembre 2019</w:t>
      </w:r>
    </w:p>
    <w:p>
      <w:pPr>
        <w:pStyle w:val="Heading2"/>
      </w:pPr>
      <w:r>
        <w:t>Regeste</w:t>
      </w:r>
    </w:p>
    <w:p>
      <w:r>
        <w:t>Verfügungen vom 4. April 2019</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Anfechtungsobjekte bilden die beiden Verfügungen vom 4. April 2019 (AB 123, 124). Streitig und zu prüfen ist, ob die Beschwerdegegnerin vom Beschwerdeführer zu Recht Fr. 6‘696.-- (AB 124) und Fr. 15‘418.-- (AB 123), ausmachend total Fr. 22‘114.--, zurückgefordert hat bzw. ob die Beschwerdegegnerin dem Beschwerdeführer gemäss dessen Antrag Fr. 36‘474.-- zuzüglich Zins von Fr. 4‘078.90 zu bezahlen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4. Sept. 2019, IV/19/370,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Ändert sich der Invaliditätsgrad einer Rentenbezügerin oder eines Rentenbezügers erheblich, so wird die Rente von Amtes wegen oder auf Gesuch hin für die Zukunft entsprechend erhöht, herabgesetzt oder aufge- hoben (Art. 17 Abs. 1 ATSG). 2.4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Art. 77 der Verordnung vom 17. Januar 1961 über die Invaliden- versicherung (IVV; SR 831.201) konkretisiert diesbezüglich, dass der Be- rechtigte oder sein gesetzlicher Vertreter sowie Behörden oder Dritte, de- nen die Leistung zukommt, jede für den Leistungsanspruch wesentliche Änderung, namentlich eine solche des Gesundheitszustandes, der Arbeits- oder Erwerbsfähigkeit, der Hilflosigkeit oder des invaliditätsbedingten Be- treuungsaufwandes, des für den Ansatz der Hilflosenentschädigung mass- gebenden Aufenthaltsortes, der persönlichen und gegebenenfalls der wirt- schaftlichen Verhältnisse des Versicherten, unverzüglich der IV-Stelle an- zuzeigen haben. Für den Tatbestand der Meldepflichtverletzung ist ein schuldhaftes Fehlverhalten erforderlich, wobei nach ständiger Rechtspre-</w:t>
      </w:r>
    </w:p>
    <w:p>
      <w:r>
        <w:t>Urteil des Verwaltungsgerichts des Kantons Bern vom 4. Sept. 2019, IV/19/370, Seite 6 chung bereits eine leichte Fahrlässigkeit genügt (BGE 118 V 214 E. 2a S. 218; SVR 2012 IV Nr. 12 S. 62 E. 4.2.1). 2.5 Unrechtmässig bezogene Leistungen sind zurückzuerstatten (Art. 25 Abs. 1 Satz 1 ATSG). 2.5.1 Im Bereich der Invalidenversicherung ist bei der Rückerstattung danach zu unterscheiden, ob die Unrechtmässigkeit des Leistungsbezugs in AHV-analogen oder IV-spezifischen Gesichtspunkten begründet liegt. Bezüglich der ersten (z.B. fehlende Versicherteneigenschaft, falsche Ren- tenberechnung) erfolgt eine rückwirkende Leistungsanpassung. Bezüglich der zweiten (alle Umstände, die im Bereich des Invaliditätsgrades von Be- deutung sind) gilt der Grundsatz der Leistungsanpassung mit Wirkung ex nunc, vorbehalten bleibt eine Verletzung der in Art. 77 IVV geregelten Mel- depflicht (BGE 119 V 431 E. 2 S. 432) sowie eine unrechtmässige Erwir- kung der in Frage stehenden Leistung (vgl. Art. 85 Abs. 2 i.V.m. Art. 88bis Abs. 2 lit. a und b IVV). 2.5.2 Der Rückforderungsanspruch erlischt mit dem Ablauf eines Jahres, nachdem die Versicherungseinrichtung davon Kenntnis erhalten hat, spätestens aber mit dem Ablauf von fünf Jahren nach der Entrichtung der einzelnen Leistung (Art. 25 Abs. 2 ATSG). Zur Fristwahrung ist die Beziffe- rung der Rückforderung nicht notwendig; es ist ausreichend, wenn die Rückforderung als solche ausreichend präzis umschrieben wird (SVR 2011 IV Nr. 52 S. 156 E. 5.1). Bei der Rückforderung unrechtmässig bezogener Leistungen der Invalidenversicherung gilt der Erlass des Vorbescheids als fristwahrend (BGE 133 V 579 E. 4.3.1 S. 584; SVR 2018 IV Nr. 20 S. 64 E. 2.3). Wurde die Rückforderung einmal frist- und formgerecht geltend gemacht, ist die Frist zu ihrer Festsetzung ein für allemal gewahrt, und zwar selbst dann, wenn die entsprechende Verfügung nachträglich aufge- hoben und durch eine inhaltlich berichtigte neue ersetzt werden muss (ARV 2001 S. 93 E. 2b). Diese Rechtsprechung betrifft nur Rückerstattungsver- fügungen, welche, beschwerdeweise angefochten und durch ein Gericht aufgehoben, zu einem Rückweisungsverfahren mit Erlass neuer Verwal- tungsverfügungen geführt haben (Entscheid des Eidgenössischen Versi- cherungsgerichts [EVG, heute BGer] vom 17. Dezember 2003, C 19/03, E. 3.2.2).</w:t>
      </w:r>
    </w:p>
    <w:p>
      <w:r>
        <w:t>Urteil des Verwaltungsgerichts des Kantons Bern vom 4. Sept. 2019, IV/19/370, Seite 7 3. 3.1 Der Beschwerdeführer bezog im Mai 1981 eine halbe und ab Juni 1981 eine ganze IV-Rente (AB 1.1/4, 1.1/35, 1.1/37). Diese betrug in den Jahren 2009 und 2010 je Fr. 20‘088.-- (AB 14.5/8, 14.6/8) bzw. Fr. 1‘674.-- pro Monat, in den Jahren 2011 und 2012 je Fr. 20‘436.-- (AB 14.3/8, 14.4/8) bzw. monatlich Fr. 1‘703.-- und in den Jahren 2013 und 2014 je Fr. 20‘616.-- (AB 14.2/7) bzw. Fr. 1‘718.-- pro Monat (vgl. AB 16/1), was zu Recht unbestritten ist (vgl. Beschwerde S. 10; vgl. zur Rentenberechnung Art. 36 f. IVG sowie Art. 29 ff. des Bundesgesetzes vom 20. Dezember 1946 über die Alters- und Hinterlassenenversicherung [AHVG; SR 831.10]). Im Zuge der im Sommer 2014 eingeleiteten Rentenrevision (vgl. AB 3) und der damit verbundenen weiteren Abklärungen (vgl. AB 38, 45, 92.1, 98) wurde der Rentenanspruch mit in Rechtskraft erwachsener (vgl. AB 109, 121) Verfügung vom 21. Februar 2018 (AB 106) rückwirkend per 1. Sep- tember 2009 aufgehoben und dem Beschwerdeführer ab 1. Januar 2010 eine Viertelsrente sowie ab 1. Januar 2013 eine halbe Rente zugespro- chen. Mit dieser Verfügung wurde gleichzeitig festgestellt, dass für die Zeit vom 1. September 2009 bis 31. Juli 2014 eine Verletzung der Meldepflicht vorliegt, da ein erhebliches Einkommen erzielt wurde, welches einen Ein- fluss auf den Invaliditätsgrad hatte (vgl. hierzu auch AB 2, 5, 14.1-14.6). Die damit bestehende grundsätzliche Pflicht zur Rückerstattung der in die- sem Zeitraum zu Unrecht erbrachten Leistungen (vgl. E. 2.5 hiervor) wird vom Beschwerdeführer zu Recht nicht bestritten (vgl. Beschwerde, insbe- sondere S. 5 f.). Zu beachten ist, dass die Beschwerdegegnerin für die Mo- nate August und September 2014 keine Meldepflichtverletzung feststellte. Ihr wurde das zuvor nicht bekannte höhere Einkommen des Beschwerde- führers mit Auszug aus dem individuellen Konto vom 22. Juli 2014 (AB 2) bzw. mit Beantwortung des Fragebogens für Arbeitgebende vom 12. Au- gust 2014 (AB 5) denn auch zur Kenntnis gebracht. 3.2 Gestützt auf die Ausführungen hiervor (E. 3.1) ergeben sich für die Zeit von September 2009 bis September 2014, in welcher dem Beschwer- deführer zu Unrecht eine ganze Rente ausgerichtet worden ist, die folgen- den Berechnungen:</w:t>
      </w:r>
    </w:p>
    <w:p>
      <w:r>
        <w:t>Urteil des Verwaltungsgerichts des Kantons Bern vom 4. Sept. 2019, IV/19/370, Seite 8 09/2009 - 12/2009 (4 Monate) Erfolgte Rentenzahlungen Fr. 6‘696.-- (vgl. AB 124/1) Effektiver Rentenanspruch Fr. 0.-- (keine Rente; vgl. AB 106) Verrechnungsergebnis Fr. 6‘696.-- 01/2010 - 12/2010 (12 Monate) Erfolgte Rentenzahlungen Fr. 20‘088.-- (vgl. AB 123/3) Effektiver Rentenanspruch Fr. 5‘028.-- (Viertelsrente; vgl. AB 106, 123/3) Verrechnungsergebnis Fr. 15‘060.-- 01/2011 - 12/2012 (24 Monate) Erfolgte Rentenzahlungen Fr. 40‘872.-- (vgl. AB 123/3) Effektiver Rentenanspruch Fr. 10‘224.-- (Viertelsrente; vgl. AB 106, 123/3) Verrechnungsergebnis Fr. 30‘648.-- 01/2013 - 09/2014 (21 Monate) Erfolgte Rentenzahlungen Fr. 36‘078.-- (vgl. AB 123/3) Effektiver Rentenanspruch Fr. 19‘757.-- (halbe Rente [vgl. AB 106] bzw. 08-09/2014 ganze Rente [vgl. AB 123/3]) Verrechnungsergebnis Fr. 16‘321.--</w:t>
      </w:r>
    </w:p>
    <w:p>
      <w:r>
        <w:t>Urteil des Verwaltungsgerichts des Kantons Bern vom 4. Sept. 2019, IV/19/370, Seite 9 Unter Berücksichtigung der vorstehend ermittelten Zahlen ergeben sich zu viel bezogene Leistungen von total Fr. 68‘725.-- (Fr. 6‘696.-- + Fr. 15‘060.-- + Fr. 30‘648.-- + Fr. 16‘321.--). Damit resultiert mit Blick auf die dem Be- schwerdeführer bei weiterhin bestehendem Anspruch auf eine halbe Rente zustehenden Leistungen von Oktober 2014 bis März 2019 von insgesamt Fr. 46‘611.-- ([3 x Fr. 859.--] + [48 x Fr. 863.--] + [3 x Fr. 870.--]; AB 123/3; vgl. auch Beschwerde S. 10) im Zeitraum von September 2009 bis Juli 2014 bzw. März 2019 ein zu viel ausgerichteter Betrag von Fr. 22‘114.-- (Fr. 68‘725.-- ./. Fr. 46‘611.--). Dies entspricht dem mit den beiden Rücker- stattungsverfügungen vom 4. April 2019 erhobenen Gesamtbetrag (Fr. 6‘696.-- [AB 124] + Fr. 15‘418.-- [AB 123]). 3.3 Zu prüfen ist, ob der Rückerstattungsanspruch – allenfalls teilwei- se – verwirkt ist (vgl. E. 2.5.2 hiervor). Dabei anerkennt der Beschwerde- führer, dass die einjährige relative Verwirkungsfrist eingehalten ist (Be- schwerde S. 7), macht jedoch geltend, die absolute fünfjährige Frist stehe einer Rückforderung von vor April 2014 erbrachten Leistungen entgegen (Beschwerde S. 9). 3.3.1 Nach Einleitung des Revisionsverfahrens im Sommer 2014 (AB 3) sowie nach Eingang sachdienlicher Unterlagen zu den erwerblichen Ver- hältnissen des Beschwerdeführers (AB 1-5) verfügte die Beschwerdegeg- nerin am 4. September 2014 (AB 9) vorsorglich die rückwirkende Renten- sistierung per 1. September 2009 (wobei die Sistierung mit VGE IV/2014/941 [AB 27] auf den 30. September 2014 abgeändert wurde). Gleichzeitig führte sie aus, das gemäss Abklärungsergebnis nach 1984 sprunghaft angestiegene Erwerbseinkommen hätte gemeldet werden müs- sen; weiter könnten die zu Unrecht bezogenen Leistungen zurückgefordert werden (AB 9/1). In der Folge sah die Beschwerdeführerin mit Vorbescheid vom 18. September 2014 (AB 15) die rückwirkende Rentenaufhebung per 1. September 2009 vor und stellte fest, dass für die Zeit vom 1. September 2009 bis 31. Juli 2014 eine Verletzung der Meldepflicht vorliege. Weiter wies sie darauf hin, dass die in dieser Zeit zu Unrecht bezogenen Leistun- gen zurückzuerstatten seien und der Beschwerdeführer hierüber eine sepa- rate Verfügung erhalten werde (AB 15/3). Entsprechend diesem Vorbe- scheid (AB 15) verfügte die Beschwerdegegnerin am 3. Dezember 2014</w:t>
      </w:r>
    </w:p>
    <w:p>
      <w:r>
        <w:t>Urteil des Verwaltungsgerichts des Kantons Bern vom 4. Sept. 2019, IV/19/370, Seite 10 (AB 26). Zwischenzeitlich hatte sie am 7. Oktober 2014 (AB 16) eine Rück- erstattungsverfügung erlassen, worin sie ebenfalls auf die Unrechtmässig- keit der bezogenen Leistungen verwies. 3.3.2 Bei diesen Gegebenheiten wurde über die Rückerstattungspflicht im Grundsatz bereits mit dem Vorbescheid vom 18. September 2014 (AB 15) befunden. Rechtsprechungsgemäss gilt der Erlass eines Vorbescheids im Sinne von Art. 73bis der Verordnung vom 17. Januar 1961 über die Invali- denversicherung (IVV; SR 831.201) als fristwahrend (vgl. E. 2.5.2 hiervor), dies sowohl bezogen auf die relative einjährige als auch auf die absolute fünfjährige Verwirkungsfrist (vgl. Entscheide des BGer vom 2. April 2019, 9C_241/2018, E. 2.1, vom 22. Januar 2019, 8C_843/2018 , E. 4.2.1, vom 9. Januar 2019, 8C_580/2018, E. 4.3.5, und vom 4. Dezember 2018, 9C_34/2018, E. 1.1). Auch wenn der zurückzuerstattende Betrag am 18. September 2014 (AB 15) noch nicht in Franken genannt wurde, so er- gab sich mit der rückwirkenden Rentenaufhebung sowie der Statuierung einer Meldepflichtverletzung für die Zeit vom 1. September 2009 bis 31. Juli 2014, dass für diesen Zeitraum Leistungen zurückzubezahlen sind, wobei klar erkennbar war, dass diese bei einem neu ermittelten Invaliditätsgrad von 33 % vollumfänglich zurückgefordert würden (vgl. hierzu E. 2.2 hier- vor). Damit hatte die Verwaltung die Rückforderung ausreichend präzis umschrieben und die einschlägigen Fristen eingehalten. Nichts an diesem Ergebnis ändert, dass die dem Vorbescheid entsprechende Verfügung vom 3. Dezember 2014 (AB 26) in der Folge vom Verwaltungsgericht bzw. Bun- desgericht integral aufgehoben (AB 38, 45) und der Rentenanspruch hier- nach umfassend neu geprüft wurde, denn die Frist zur Festsetzung einer Rückforderung wird bei einer einmal frist- und formgerecht erfolgten Gel- tendmachung ein für allemal gewahrt (vgl. zum Ganzen E. 2.5.2 hiervor; Entscheide des BGer vom 22. März 2019, 8C_819/2018, E. 4, vom 31. Mai 2016, 9C_542/2015, E. 5, und vom 8. Februar 2011, 8C_699/2010, E. 5.1). Die mit VGE IV/2014/1085 vom 8. April 2015 (AB 35) ebenfalls aufgehobe- ne Rückerstattungsverfügung vom 7. Oktober 2014 (AB 16) ist insoweit nicht massgebend. 3.4 Nach dem Dargelegten wurden die einschlägigen Verwirkungsfris- ten mit Erlass des Vorbescheids vom 18. September 2014 (AB 15) einge-</w:t>
      </w:r>
    </w:p>
    <w:p>
      <w:r>
        <w:t>Urteil des Verwaltungsgerichts des Kantons Bern vom 4. Sept. 2019, IV/19/370, Seite 11 halten. Da zudem die Rückforderung auch in betraglicher Hinsicht nicht zu beanstanden ist, erweisen sich die beiden Rückerstattungsverfügungen vom 4. April 2019 (AB 123, 124) als rechtens. In der Folge ist die dagegen erhobene Beschwerde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4.2 Entsprechend dem Verfahrensausgang hat der Beschwerdeführer keinen Anspruch auf eine Parteientschädigung (Art. 61 lit. g ATSG [Um- kehrschluss]). Demnach entscheidet das Verwaltungsgericht: 1. Die Beschwerde wird abgewiesen. 2. Die Verfahrenskosten von Fr. 800.-- werden dem Beschwerdeführer zur Bezahlung auferlegt und dem geleisteten Kostenvorschuss in glei- cher Höhe entnommen. 3. Es wird keine Parteientschädigung zugesprochen.</w:t>
      </w:r>
    </w:p>
    <w:p>
      <w:r>
        <w:t>Urteil des Verwaltungsgerichts des Kantons Bern vom 4. Sept. 2019, IV/19/370, Seite 12 4. Zu eröffnen (R): - Rechtsanwalt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