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343 vom 16. April 2020</w:t>
      </w:r>
    </w:p>
    <w:p>
      <w:r>
        <w:t>BE Verwaltungsgericht, 2020-04-16, DE</w:t>
      </w:r>
    </w:p>
    <w:p>
      <w:r>
        <w:rPr>
          <w:b/>
        </w:rPr>
        <w:t xml:space="preserve">Quelle: </w:t>
      </w:r>
      <w:r>
        <w:t>https://mcp.opencaselaw.ch/entscheid/be_verwaltungsgericht_200_2019_343</w:t>
      </w:r>
    </w:p>
    <w:p>
      <w:r>
        <w:t>FR: BE_VERWALTUNGSGERICHT 200 2019 343 du 16 avril 2020</w:t>
      </w:r>
    </w:p>
    <w:p>
      <w:r>
        <w:t>IT: BE_VERWALTUNGSGERICHT 200 2019 343 del 16 aprile 2020</w:t>
      </w:r>
    </w:p>
    <w:p>
      <w:pPr>
        <w:pStyle w:val="Heading2"/>
      </w:pPr>
      <w:r>
        <w:t>Regeste</w:t>
      </w:r>
    </w:p>
    <w:p>
      <w:r>
        <w:t>Verfügung vom 21. März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März 2019 (AB 67). Streitig und zu prüfen ist der Anspruch auf Ersatzleistungen in Form von Dienstleistungen Dritter (Fahrdienst).</w:t>
      </w:r>
    </w:p>
    <w:p>
      <w:r>
        <w:rPr>
          <w:b/>
        </w:rPr>
        <w:t>E. 1.3</w:t>
      </w:r>
    </w:p>
    <w:p>
      <w:r>
        <w:t>Die Abteilungen urteilen gewöhnlich in einer Kammer bestehend aus drei Richterinnen oder Richtern (Art. 56 Abs. 1 GSOG).</w:t>
      </w:r>
    </w:p>
    <w:p>
      <w:r>
        <w:t>Urteil des Verwaltungsgerichts des Kantons Bern vom 16. April 2020, IV/19/343, Seite 4</w:t>
      </w:r>
    </w:p>
    <w:p>
      <w:r>
        <w:rPr>
          <w:b/>
        </w:rPr>
        <w:t>E. 1.4</w:t>
      </w:r>
    </w:p>
    <w:p>
      <w:r>
        <w:t>Das Gericht überprüft den angefochtenen Entscheid frei und ist an die Begehren der Parteien nicht gebunden (Art. 61 lit. c und d ATSG; Art. 80 lit. c Ziff. 1 und Art. 84 Abs. 3 VRPG).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Ferner bestimmt Art. 21 Abs. 2 IVG, dass Versicherte, die infolge ihrer Invalidität für die Fortbewe- gung, für die Herstellung des Kontaktes mit der Umwelt oder für die Selbst- sorge kostspieliger Geräte bedürfen, im Rahmen einer vom Bundesrat auf- zustellenden Liste ohne Rücksicht auf die Erwerbsfähigkeit Anspruch auf solche Hilfsmittel haben. 2.2 Die Befugnis zur Aufstellung der Hilfsmittelliste und zum Erlass er- gänzender Vorschriften im Sinne von Art. 21 Abs. 2 und 4 IVG hat der Bundesrat in Art. 14 der Verordnung über die Invalidenversicherung vom 17. Januar 1961 (IVV; SR 831.201) an das Eidg. Departement des Innern (EDI) übertragen, welches die Verordnung vom 29. November 1976 des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w:t>
      </w:r>
    </w:p>
    <w:p>
      <w:r>
        <w:t>Urteil des Verwaltungsgerichts des Kantons Bern vom 16. April 2020, IV/19/343, Seite 5 steht nur, soweit diese für die Ausübung einer Erwerbstätigkeit oder die Tätigkeit im Aufgabenbereich, für die Schulung, die Ausbildung, die funkti- onelle Angewöhnung oder für die bei einzelnen Hilfsmitteln ausdrücklich genannte Tätigkeit notwendig sind (Abs. 2). Eine rechtlich erhebliche Er- werbstätigkeit i.S.v. Art. 2 Abs. 2 HVI ist anzunehmen, wenn die versicherte Person ohne Anrechnung allfälliger Renten aus ihrer Tätigkeit ein jährliches Einkommen erzielt, das dem Mindestbeitrag für Nichterwerbstätige gemäss Art. 10 Abs. 1 AHVG entspricht oder höher ist (SVR 2017 IV Nr. 61 S. 190 E. 4.1). 2.3 Die Liste der von der Invalidenversicherung abzugebenden Hilfsmit- tel ist insofern abschliessend, als sie die in Frage kommenden Hilfsmittel- kategorien aufzählt; dagegen ist innerhalb der einzelnen Kategorien jeweils zu prüfen, ob die Aufzählung der einzelnen Hilfsmittel ebenfalls abschlies- send oder bloss exemplifikatorisch ist.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(BGE 131 V 9 E. 3.4.2 S. 14; SVR 2008 IV Nr. 45 S. 153 E. 2.2). 3. 3.1 Was den Gesundheitszustand des Beschwerdeführers angeht, ist den Akten im Wesentlichen das Folgende zu entnehmen: 3.1.1 Im Bericht vom 5. März 2018 (AB 24) diagnostizierte E.________, stellvertretende Oberärztin Orthoptik des Spitals F.________, eine schwe- rere Optikusneuropahtie an beiden Augen (oculus uterque [OU]), bei aktuell positiven Myelin-Oligodendrozyten-Glykoprotein-Antikörpern (MOG- Antikörper). Als Differenzialdiagnose (DD) führte sie eine konsekutive, nicht arteriitische ischämische Optikusneuropathie auf. Der Beschwerdeführer sei an die Neurologie zugewiesen, um zu sehen, ob ein Zusammenhang zwischen den MOG-Antikörpern und der schweren Opitkusneuropathie</w:t>
      </w:r>
    </w:p>
    <w:p>
      <w:r>
        <w:t>Urteil des Verwaltungsgerichts des Kantons Bern vom 16. April 2020, IV/19/343, Seite 6 bestehe. Es sei besprochen worden, dass der Beschwerdeführer aufgrund des Fernvisus nicht Auto fahren dürfe. 3.1.2 Dr. med. G.________, Facharzt für Allgemeine Innere Medizin, Kar- diologie und Arbeitsmedizin, vom Regionalen Ärztlichen Dienst (RAD), dia- gnostizierte im Bericht vom 16. April 2018 (AB 27) eine schwere Optikusa- trophie beider Augen mit positivem Antikörpernachweis (DD Systemerkran- kung). Ein Therapieversuch mit Cortison (unter der Vorstellung einer Auto- immunerkrankung) habe keine Besserung erbracht. Der Verlauf sei undu- lierend, mit rezidivierenden Schwellungen der Sehnervenscheide (zuletzt im September 2017), dann jeweils mit akuten Sehverschlechterungen. Auf- grund der schweren Sehbehinderung bestehe ein dauerhaftes Fahrverbot für jegliches Kraftfahrzeug (S. 3 f.). Es sei aufgrund der Verlaufsdiagnose der Oberärztin der Augenklinik, E.________, damit zu rechnen, dass im Verlauf der Erkrankung schubförmig und unkalkulierbar weitere Papillen- ödeme eintreten könnten (S. 4 Ziff. 2). Beim Beschwerdeführer liege eine schwere Einschränkung der Mobilität vor. Der aus der Lage seines Wohn- ortes resultierende Arbeitsweg von mindestens zwei Mal 90 Minuten, mit zusätzlichen insbesondere witterungsbedingten Unsicherheiten, lasse an- nehmen, dass hier dauerhafter Hilfs- und Unterstützungsbedarf bestehe (Ziff. 4). 3.1.3 Die stellvertretende Oberärztin Orthoptik E.________ diagnostizier- te im Verlaufsbericht vom 9. November 2018 (AB 40) eine schwere Opti- kusneuropathie mit Nachweis von MOG-Antikörpern (S. 2 Ziff. 3). Es be- stehe ein reduzierter Visus beidseits mit Einschränkung des Gesichtsfeldes (Ziff. 4). Sie hielt eine reduzierte Leistung bei visuellen Tätigkeiten fest (Ziff. 5), wobei keine Verbesserung der visuellen Funktion zu erwarten sei (S. 3 Ziff. 9). Der Beschwerdeführer dürfe nicht Autofahren (S. 4 Ziff. 12) und brauche Unterstützung bzw. Hilfe für den Transport (Ziff. 13). 3.1.4 In der Aktennotiz des RAD-Arztes Dr. med. G.________ vom 28. November 2018 (AB 41) hielt dieser als Diagnose eine schwere, sich allenfalls schleichend verschlechternde Sehbehinderung infolge immunolo- gisch bedingter Atrophie des Nervus opticus beidseits (MOG-Antikörper positiv) fest. Funktionell wirke sich dies als schwere Einschränkung von Visus und Gesichtsfeld beidseits aus. Seit der RAD-ärztlichen Stellung-</w:t>
      </w:r>
    </w:p>
    <w:p>
      <w:r>
        <w:t>Urteil des Verwaltungsgerichts des Kantons Bern vom 16. April 2020, IV/19/343, Seite 7 nahme vom 16. April 2018 (AB 27) sei insofern ein diagnostischer Forts- chritt erreicht worden, als nunmehr die (immunologische) Ursache der Schädigung der Sehnerven beidseits sicher ausgewiesen werden konnte (wiederholter Nachweis des MOG-Antikörpers). Eine medizinische Konse- quenz durch den nunmehr feststehenden Antikörper-Befund sei nicht ge- geben. Aus neurologischer Sicht bestehe das Therapieziel der immunologi- schen Behandlung allenfalls in einer Verlangsamung des weiteren Forts- chreitens der Erkrankung (und damit allenfalls einer Verhinderung der im natürlichen Verlauf der Optikusatrophie drohenden Erblindung). Es sei von einem stabil-schlechten Gesundheitszustand auszugehen. Die unter ge- samthafter Würdigung der Aktenlage am 16. April 2018 (vgl. AB 27; E. 3.1.2 hiervor) erarbeitete Einschätzung (reduziertes Leistungsvermögen bei visuellen Tätigkeiten, Fahrverbot für jegliche Motorfahrzeuge, erhebli- che Mobilitätseinschränkung als Fussgänger auf dem Weg zur Arbeit) wer- de durch die Angaben der Oberärztin der Augenklinik des Spitals F.________, E.________, vom 9. November 2018 (AB 40; E. 3.1.4 hiervor) in plausibler und für den RAD nachvollziehbarer Weise erneut bestätigt. 3.1.5 Dr. med. G.________ diagnostizierte im RAD-Bericht vom 6. De- zember 2018 (AB 44) eine schwere, sich allenfalls schleichend verschlech- ternde Sehbehinderung infolge immunologisch bedingter Atrophie des Ner- vus opticus beidseits (MOG-Antikörper positiv), woraus funktionelle Auswir- kungen in Form einer schweren Einschränkung von Visus und Gesichtsfeld beidseits resultierten (S. 3). Der Beschwerdeführer gelte als hochgradig bis höchstgradig sehbehinderter Mensch (S. 4 Ziff. 3). 3.2 Aufgrund der Akten erstellt und unbestritten ist, dass der Beschwer- deführer mit Auswirkung auf die Arbeitsfähigkeit bei Diagnose einer schwe- ren Optikusatrophie beider Augen mit positivem Antikörpernachweis schwer sehbehindert ist und laut verkehrsmedizinischer Beurteilung daher ein dauerhaftes Fahrverbot für Kraftfahrzeuge aller Art besteht. Der RAD- Arzt, Dr. med. G.________, hielt im Bericht vom 16. April 2018 (AB 27) zudem weiter fest, in der aktuellen Tätigkeit mit vollzeitiger Präsenz und 50%iger Leistungsfähigkeit sei der Beschwerdeführer optimal leidensange- passt eingegliedert, sofern die Optikusneuritis stabil verlaufe. Aufgrund der schweren Einschränkung in der Mobilität, auch als Fussgänger (vgl. hierzu</w:t>
      </w:r>
    </w:p>
    <w:p>
      <w:r>
        <w:t>Urteil des Verwaltungsgerichts des Kantons Bern vom 16. April 2020, IV/19/343, Seite 8 AB 41 S. 2), sei er dauerhaft auf Hilfe und Unterstützung durch Dritte bei der Bewältigung seines Arbeitsweges angewiesen (AB 27 S. 4 Ziff. 4; vgl. AB 41). Weiter geht aus den Akten hervor, dass der Wohnort des Beschwerdefüh- rers abgelegen liegt. Die Entfernung zur nächstgelegenen Postautohalte- stelle in ... beträgt ungefähr drei Kilometer und ist zu Fuss in ca. 35 Minuten zu bewältigen (Akten des Beschwerdeführers, Beschwerdebeilage [BB] 5). Die anschliessende Fahrt zur Arbeitsstelle per Postauto dauert gemäss Fahrplan der SBB rund eine halbe bis Dreiviertelstunde mit Umsteigen (www.sbb.ch). Dies wird nicht bestritten. 3.3 Zwar wurden dem Beschwerdeführer im Rahmen der gewährten Frühinterventionsmassnahmen die Kosten für den Fahrdienst von zu Hau- se an den Arbeitsort entschädigt (AB 18, 21, 30). Indessen besteht darauf kein Rechtsanspruch (vgl. Art. 7d Abs. 3 IVG), weshalb er daraus für das vorliegende Verfahren nichts zu seinen Gunsten ableiten kann (vgl. Be- schwerde, S. 10 Ziff. 2.5). 3.4 Fest steht, dass der Beschwerdeführer zur Bewältigung seines Ar- beitsweges (vgl. BB 5) und damit zur Ausübung der Erwerbstätigkeit infolge seiner Sehbehinderung auch aus RAD-ärztlicher Sicht (vgl. AB 27 S. 4 Ziff. 4) auf ein Hilfsmittel angewiesen ist. Gestützt auf Art. 21 Abs. 1 IVG ist er daher grundsätzlich im Rahmen der Hilfsmittelliste anspruchsberechtigt (vgl. E. 2.1 hiervor). Nach Ziff. 10 HVI-Anhang sind Motorfahrzeuge und Invalidenfahrzeuge Hilfsmittel für Versicherte, die voraussichtlich dauernd eine existenzsichernde Erwerbstätigkeit ausüben und zur Überwindung des Arbeitsweges auf ein persönliches Motorfahrzeug angewiesen sind. Gemäss Kreisschreiben über die Abgabe von Hilfsmitteln durch die Invali- denversicherung (KHMI; abrufbar unter https://sozialversicherungen.admin.ch &gt; IV &gt; Grundlagen IV &gt; Individuelle Leistungen &gt; Kreisschreiben; Stand 1. Januar 2019] Rz. 2087 f.) ist eine versicherte Person dann invaliditätsbedingt auf ein Motorfahrzeug ange- wiesen, wenn sie infolge ihrer Invalidität den Arbeitsweg weder zu Fuss, mit dem Fahrrad noch den öffentlichen Verkehrsmitteln zurücklegen oder ihr dies nicht zugemutet werden kann (vgl. hierzu auch MEYER/REICHMUTH,</w:t>
      </w:r>
    </w:p>
    <w:p>
      <w:r>
        <w:t>Urteil des Verwaltungsgerichts des Kantons Bern vom 16. April 2020, IV/19/343, Seite 9 Bundesgesetz über die Invalidenversicherung [IVG], 3. Auflage 2014, Art. 21-21quater N. 53). Die Beschwerdegegnerin bringt hiergegen vor, der Beschwerdeführer wäre aufgrund seines abgeschiedenen Wohnortes auch ohne die eingetretene gesundheitliche Einschränkung für die Überwindung des Arbeitsweges auf ein Motorfahrzeug angewiesen, weshalb kein Anspruch bestehe. Sie stützt sich dabei auf Rz. 2088 KHMI, wonach die IV keine Kosten übernimmt, falls eine nichtinvalide Person in derselben Situation auf ein Motorfahrzeug an- gewiesen wäre (Beschwerdeantwort S. 3 Ziff. 12). Da der Arbeitsweg des Beschwerdeführers mit den öffentlichen Verkehrsmitteln schon in gesun- dem Zustand unzumutbar sei, könne die eingeschränkte Sehfähigkeit nicht als ursächlich für die Notwendigkeit eines Autos angesehen werden (S. 4 Ziff. 17). Der Beschwerdeführer hingegen stellt sich auf den Standpunkt, er sei vor Eintritt der Invalidität keineswegs auf ein Motorfahrzeug angewiesen gewe- sen, so sei er früher entweder zu Fuss zur nächstgelegenen Bushaltestelle gegangen oder habe teilweise auch das Fahrrad benutzt (Beschwerde S. 8 Ziff. 2.4). Vorliegend sind keine Gründe ersichtlich, die gegen diese Darstellung des Beschwerdeführers sprechen. Es ist zudem nicht einzusehen, weshalb die Überwindung eines Weges von rund drei Kilometern generell ohne Auto nicht möglich resp. mit dem Fahrrad (die Fahrzeit vom Wohnort bis nach ... beläuft sich gemäss Routenplaner von Google maps auf neun Minuten) oder zu Fuss mit anschliessender Fahrzeit von ungefähr einer halben bis Dreiviertelstunde mit öffentlichen Verkehrsmitteln als nicht zumutbar zu erachten ist. Die Beschwerdegegnerin bringt hierzu auch keine konkreten Einwände vor, sondern stellt ohne Begründung fest, der Beschwerdeführer sei bereits vor seiner Erkrankung infolge seines Wohnortes auf ein Motor- fahrzeug angewiesen gewesen. Mithin ist erstellt, dass dem Beschwerde- führer auch als Gesunder (weiterhin) die Überwindung des Arbeitsweges auch ohne Auto zumutbar und er insofern nicht auf ein Motorfahrzeug an- gewiesen wäre. Daran ändert nichts, wenn der Beschwerdeführer ab und zu bequemerweise das Auto benutzt hat (vgl. Beschwerde S. 8 Ziff. 2.4).</w:t>
      </w:r>
    </w:p>
    <w:p>
      <w:r>
        <w:t>Urteil des Verwaltungsgerichts des Kantons Bern vom 16. April 2020, IV/19/343, Seite 10 Gestützt auf Rz. 2088 KHMI kann ein Anspruch nicht verneint werden son- dern wäre dem Beschwerdeführer gestützt auf Art. 21 Abs. 1 IVG ein Hilfs- mittel in Form eines Motorfahrzeuges (Ziff. 10 HVI-Anhang) zuzusprechen. Ein solches ist für ihn aber aufgrund seiner schweren Seheinschränkung nicht geeignet. Somit sind für den Beschwerdeführer zur Überwindung des Arbeitsweges anstelle dieses Hilfsmittels besondere Dienstleistungen not- wendig, die von Dritten erbracht werden (vgl. hierzu auch Entscheid des Bundesgerichts vom 1. Juli 2015, 8C_68/2015, E. 3). Gestützt auf Art. 9 Abs. 1 lit. a HVI ist ihm ein Fahrdienst zuzusprechen. Die Beschwerdegeg- nerin hat für die anfallenden Kosten im Rahmen von Art. 9 Abs. 2 HVI (vgl. auch Rz. 1034 KHMI) aufzukommen. 3.5 Zusammenfassend ist die Beschwerde gutzuheissen und die ange- fochtene Verfügung vom 21. März 2019 (AB 67) aufzuheben. Die Be- schwerdegegnerin hat die gesetzlichen Leistungen für den Fahrdienst ab dem 1. Januar 2019 zu erbringen. Die Sache geht zu deren Festlegung und Ausrichtung zurück an die Beschwerdegegnerin.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 4.2 Die obsiegende Beschwerde führende Person hat Anspruch auf Ersatz der Parteikosten (Art. 61 lit. g ATSG). Diese werden ohne Rücksicht auf den Streitwert nach der Bedeutung der Streitsache und nach der Schwierigkeit des Prozesses bemessen (Art. 61 lit. g ATSG).</w:t>
      </w:r>
    </w:p>
    <w:p>
      <w:r>
        <w:t>Urteil des Verwaltungsgerichts des Kantons Bern vom 16. April 2020, IV/19/343, Seite 11 Rechtsanwalt Dr. iur. B.________ macht in seiner Kostennote vom 24. Juni 2019 einen Aufwand von 9.5 Stunden à Fr. 250.-- zuzüglich Auslagen von Fr. 45.90 und Mehrwertsteuer von Fr. 186.40 geltend, was nicht zu bean- standen ist. Der gesamte Parteikostenersatz wird somit auf Fr. 2‘607.30 (inkl. Auslagen und Mehrwertsteuer) festgesetzt. Diesen Betrag hat die Beschwerdegegnerin dem Beschwerdeführer zu ersetzen.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