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307 vom 19. Februar 2019</w:t>
      </w:r>
    </w:p>
    <w:p>
      <w:r>
        <w:t>BE Verwaltungsgericht, 2019-02-19, DE</w:t>
      </w:r>
    </w:p>
    <w:p>
      <w:r>
        <w:rPr>
          <w:b/>
        </w:rPr>
        <w:t xml:space="preserve">Quelle: </w:t>
      </w:r>
      <w:r>
        <w:t>https://mcp.opencaselaw.ch/entscheid/be_verwaltungsgericht_200_2019_307</w:t>
      </w:r>
    </w:p>
    <w:p>
      <w:r>
        <w:t>FR: BE_VERWALTUNGSGERICHT 200 2019 307 du 19 février 2019</w:t>
      </w:r>
    </w:p>
    <w:p>
      <w:r>
        <w:t>IT: BE_VERWALTUNGSGERICHT 200 2019 307 del 19 febbraio 2019</w:t>
      </w:r>
    </w:p>
    <w:p>
      <w:pPr>
        <w:pStyle w:val="Heading2"/>
      </w:pPr>
      <w:r>
        <w:t>Regeste</w:t>
      </w:r>
    </w:p>
    <w:p>
      <w:r>
        <w:t>Einspracheentscheid vom 19. Februar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19. Februar 2019 (act. II 39). Streitig und zu prüfen ist einerseits die Recht- zeitigkeit der Einsprache vom 13. November 2018 (act. II 37) gegen die Verfügung vom 25. September 2018 (act. II 30) und andererseits der Be- stand der geltend gemachten Forderung für die Prämien April bis Juni 2017 (inkl. Aufforderungs- und Dossiereröffnungskosten) über Fr. 203.05 (zuzüg- lich Verzugszinsen von 5% seit 5. Februar 2018) sowie ob die Vorausset- zungen für die Aufhebung des Rechtsvorschlages in der Betreibung Nr. ... des Betreibungsamtes ..., erfüllt sind.</w:t>
      </w:r>
    </w:p>
    <w:p>
      <w:r>
        <w:rPr>
          <w:b/>
        </w:rPr>
        <w:t>E. 1.3</w:t>
      </w:r>
    </w:p>
    <w:p>
      <w:r>
        <w:t>Die Mitglieder des Verwaltungsgerichts behandeln als Einzelrichte- rin oder Einzelrichter Beschwerden gegen Nichteintretensverfügungen oder -entscheide (Art. 57 Abs. 2 lit. c GSOG). Zudem liegt der Streitwert unter Fr. 20'000.-- (vgl. E. 1.2 hiervor), weshalb die Beurteilung der Beschwerde auch aus diesem Grund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Gegen Verfügungen kann innerhalb von 30 Tagen bei der verfü- genden Stelle Einsprache erhoben werden; davon ausgenommen sind pro- zess- und verfahrensleitende Verfügungen (Art. 52 Abs. 1 ATSG). 2.2 Berechnet sich eine Frist nach Tagen oder Monaten und bedarf sie der Mitteilung an die Parteien, so beginnt sie am Tag nach ihrer Mitteilung zu laufen (Art. 38 Abs. 1 ATSG). 2.3 Schriftliche Eingaben müssen spätestens am letzten Tag der Frist dem Versicherungsträger eingereicht oder zu dessen Handen der Schwei- zerischen Post oder einer schweizerischen diplomatischen oder konsulari- schen Vertretung übergeben werden (Art. 39 Abs. 1 ATSG).</w:t>
      </w:r>
    </w:p>
    <w:p>
      <w:r>
        <w:t>Urteil des Verwaltungsgerichts des Kantons Bern vom 24. Juni 2019, KV/19/307, Seite 5 2.4 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 Nach der Rechtsprechung ist die Wiederherstellung nur bei klarer Schuld- losigkeit der betroffenen Prozesspartei und ihrer Vertretung zu gewähren, es darf also auch keine bloss leichte Fahrlässigkeit vorliegen. In Frage kommt objektive Unmöglichkeit zeitgerechten Handelns wie beispielsweise bei Naturkatastrophen, Militärdienst oder schwerwiegender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Es ist indes ein strenger Massstab anzuwenden. Insbesondere stellt ein auf Unachtsamkeit zurückzuführendes Versehen kein unverschul- detes Hindernis dar (SVR 2017 IV Nr. 24 S. 68 E. 2.2). 2.5 Das Einspracheverfahren wird mit einem Nichteintretensentscheid abgeschlossen, wenn die Eintretensvoraussetzungen nicht erfüllt sind (BGE 142 V 152 E. 2.2 S. 155). 3. Die Verfügung vom 25. September 2018 (act. II 30), mit welcher die Be- schwerdegegnerin der Kündigung der obligatorischen Krankenpflegeversi- cherung per 31. Dezember 2017 aufgrund von Zahlungsausständen nicht zugestimmt hatte, wurde dem Beschwerdeführer am 2. Oktober 2018 zu- gestellt (vgl. Track &amp; Trace-Auszug der Schweizerischen Post; act. II 30). Folglich begann die 30-tägige Einsprachefrist am 3. Oktober 2018 zu laufen und endete am 1. November 2018 (vgl. E. 2.1 f. hiervor). Mit der am</w:t>
      </w:r>
    </w:p>
    <w:p>
      <w:r>
        <w:rPr>
          <w:b/>
        </w:rPr>
        <w:t>E. 6</w:t>
      </w:r>
    </w:p>
    <w:p>
      <w:r>
        <w:t>Oktober 2000 über den Allgemeinen Teil des Sozialversicherungsrechts (ATSG; SR 830.1) i.V.m. Art. 54 Abs. 1 lit. a des kantonalen Gesetzes vom</w:t>
      </w:r>
    </w:p>
    <w:p>
      <w:r>
        <w:rPr>
          <w:b/>
        </w:rPr>
        <w:t>E. 6.1</w:t>
      </w:r>
    </w:p>
    <w:p>
      <w:r>
        <w:t>In Anwendung von Art. 1 Abs. 1 KVG i.V.m. Art. 61 lit. a ATSG sind keine Verfahrenskosten zu erheben.</w:t>
      </w:r>
    </w:p>
    <w:p>
      <w:r>
        <w:rPr>
          <w:b/>
        </w:rPr>
        <w:t>E. 6.2</w:t>
      </w:r>
    </w:p>
    <w:p>
      <w:r>
        <w:t>Trotz seines teilweise Obsiegens hat der nicht (anwaltlich) vertrete- ne Beschwerdeführer nach konstanter Praxis keinen Anspruch auf eine Parteientschädigung, da der Aufwand zur Wahrung seiner Interessen den Rahmen dessen nicht überschritten hat, was der Einzelne üblicher- und zumutbarerweise nebenbei zur Besorgung seiner persönlichen Angelegen- heiten auf sich zu nehmen hat (BGE 127 V 205 E. 4b S. 207). Demnach entscheidet der Einzelrichter: 1. In teilweiser Gutheissung der Beschwerde werden die Dispositiv- Ziffern 2 und 3 des angefochtenen Einspracheentscheids der Mutuel Krankenversicherung AG vom 19. Februar 2019 aufgehoben. Im Übri- gen wird die Beschwerde abgewiesen. 2. Es werden weder Verfahrenskosten erhoben noch wird eine Parteien- tschädigung zugesprochen. 3. Zu eröffnen (R): - A.________ - Mutuel Krankenversicherung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24. Juni 2019, KV/19/307, Seite 4</w:t>
      </w:r>
    </w:p>
    <w:p>
      <w:r>
        <w:rPr>
          <w:b/>
        </w:rPr>
        <w:t>E. 14</w:t>
      </w:r>
    </w:p>
    <w:p>
      <w:r>
        <w:t>November 2018 der Post übergebenen Einsprache vom 13. November 2018 (act. II 37) wurde die Einsprachefrist somit offensichtlich nicht gewahrt (vgl. E. 2.3 hiervor). Gründe, welche zur Wiederherstellung der Frist führen</w:t>
      </w:r>
    </w:p>
    <w:p>
      <w:r>
        <w:t>Urteil des Verwaltungsgerichts des Kantons Bern vom 24. Juni 2019, KV/19/307, Seite 6 könnten (vgl. E. 2.4 hiervor), sind nicht ersichtlich und werden auch nicht geltend gemacht. Damit ist die Beschwerdegegnerin mit Entscheid vom 19. Februar 2019 (act. II 39) zu Recht auf die verspätet eingereichte Einsprache vom 13. No- vember 2018 nicht eingetreten. Diesbezüglich ist die Beschwerde abzuwei- sen. 4. 4.1 Jede Person mit Wohnsitz in der Schweiz muss sich innert drei Mo- naten nach der Wohnsitznahme oder der Geburt in der Schweiz für Kran- kenpflege versichern oder von ihrem gesetzlichen Vertreter beziehungs- weise ihrer gesetzlichen Vertreterin versichern lassen (Art. 3 Abs. 1 des Bundesgesetzes vom 18. März 1994 über die Krankenversicherung [KVG; SR 832.10]). 4.2 Der Versicherer legt die Prämien für seine Versicherten fest (Art. 61 Abs. 1 Satz 1 KVG). Die Prämien sind im Voraus und in der Regel monat- lich zu bezahlen (Art. 90 der Verordnung über die Krankenversicherung vom 27. Juni 1995 [KVV; SR 832.102]). Gestützt auf Art. 1 Abs. 1 KVG i.V.m. Art. 26 Abs. 1 ATSG sind für fällige Prämien Verzugszinsen zu leis- ten. Der Satz beträgt 5% im Jahr (Art. 105a KVV). Verschuldet die versi- cherte Person Aufwendungen, die bei rechtzeitiger Zahlung nicht entstan- den wären, so kann der Versicherer angemessene Bearbeitungsgebühren erheben, sofern er in seinen allgemeinen Bestimmungen über die Rechte und Pflichten der Versicherten eine entsprechende Regelung vorsieht (Art. 105b Abs. 2 KVV; vgl. BGE 125 V 276). 4.3 Bezahlt die versicherte Person fällige Prämien oder Kostenbeteili- gungen nicht, so hat der Versicherer ihr, nach mindestens einer schriftli- chen Mahnung, eine Zahlungsaufforderung zuzustellen, ihr eine Nachfrist von 30 Tagen einzuräumen und sie auf die Folgen des Zahlungsverzuges hinzuweisen (Art. 64a Abs. 1 KVG). Der Versicherer muss die Zahlungsauf- forderung bei Nichtbezahlung von Prämien und Kostenbeteiligungen spätestens drei Monate ab deren Fälligkeit zustellen. Er muss sie getrennt</w:t>
      </w:r>
    </w:p>
    <w:p>
      <w:r>
        <w:t>Urteil des Verwaltungsgerichts des Kantons Bern vom 24. Juni 2019, KV/19/307, Seite 7 von allfälligen anderen Zahlungsausständen zustellen (Art. 105b Abs. 1 KVV). Bezahlt die versicherte Person trotz Zahlungsaufforderung die Prä- mien, Kostenbeteiligungen und Verzugszinse nicht innert der gesetzten Frist, so muss der Versicherer die Betreibung anheben (Art. 64a Abs. 2 Satz 1 KVG). 4.4 Nach der Rechtsprechung sind die Versicherer befugt, den gegen eine (noch nicht rechtskräftig festgesetzte) Prämienforderung im Bereich der obligatorischen Krankenpflegeversicherung erhobenen Rechtsvor- schlag im Rahmen des Verwaltungsverfahrens mittels Verfügung oder Ein- spracheentscheid aufzuheben (vgl. Art. 79 des Bundesgesetzes vom 11. April 1889 über Schuldbetreibung und Konkurs [SchKG; SR 281.1]). Dabei muss ausdrücklich auf die Betreibung Bezug genommen und der Rechtsvorschlag als aufgehoben erklärt werden. Die Verwaltungsbehörde fällt in dieser Konstellation nicht nur einen Sachentscheid, sondern handelt gleichzeitig auch als Rechtsöffnungsinstanz. Gleiches gilt im Beschwerde- fall für die Gerichte (BGE 121 V 109 E. 2 S. 110, 119 V 329 E. 2b S. 331; SVR 2010 KV Nr. 6 S. 28 E. 2.1). 5. 5.1 Aufgrund der Akten steht fest und ist unbestritten, dass der Be- schwerdeführer im Rahmen des bei der Beschwerdegegnerin bestehenden Versicherungsverhältnisses für die obligatorische Krankenpflegeversiche- rung grundsätzlich (ohne Prämienverbilligung) monatliche Prämien von Fr. 335.30 ab 1. Januar 2017 resp. von Fr. 404.50 ab 1. November 2017 (Prämienerhöhung infolge Umzugs des Beschwerdeführers) zu leisten hat- te (act. II 3). 5.2 Am 9. August 2017 liess die Beschwerdegegnerin dem Beschwer- deführer einen detaillierten Kontoauszug für den Zeitraum 1. Januar bis 31. August 2017 zukommen, der einen Fehlbetrag von Fr. 1'529.35 aus- wies. Beigefügt war ein Einzahlungsschein (über nämlichen Betrag) mit der Referenznummer ... (act. II 9). Damit zeigte sich der Beschwerdeführer nicht einverstanden und stellte der Beschwerdegegnerin mit E-Mail vom 10. August 2017 (act. II 10) den eigenhändig „korrigierten“ Kontoauszug zu.</w:t>
      </w:r>
    </w:p>
    <w:p>
      <w:r>
        <w:t>Urteil des Verwaltungsgerichts des Kantons Bern vom 24. Juni 2019, KV/19/307, Seite 8 Darin hielt er fest, von Januar bis Juli 2017 resultierten Prämien von Fr. 983.15. Abzüglich einer Gutschrift von Fr. 5.70 ergäbe dies ein Total von Fr. 977.45. Der Selbstbezahlt bzw. die Franchise seien in diesem Be- trag nicht enthalten. In der Folge gingen bei der Beschwerdegegnerin am</w:t>
      </w:r>
    </w:p>
    <w:p>
      <w:r>
        <w:rPr>
          <w:b/>
        </w:rPr>
        <w:t>E. 16</w:t>
      </w:r>
    </w:p>
    <w:p>
      <w:r>
        <w:t>und 28. August 2017 (unbestrittenermassen) je eine Zahlung des Be- schwerdeführers über Fr. 177.45 und Fr. 800.-- ein (vgl. u.a. act. II 11 und 39 S. 2; vgl. auch die unpaginierten Akten des Beschwerdeführers [act. IA]). Da die Beschwerdegegnerin diese Zahlungen gemäss eigenen Anga- ben keiner Rechnung zuordnen konnte, rechnete sie diese der am frühsten verfallenen Kostenbeteiligungen Nr. ... in der Höhe von Fr. 253.50 an. Die restlichen Fr. 723.95 wurden den Prämienrechnungen Januar bis Juni 2017 angerechnet, wobei ein Restbetrag von Fr. 113.05 offen blieb (act. II 39 S. 2). Diesen (Rest-)Betrag (zuzüglich Aufforderungs- und Dossiereröff- nungskosten sowie fällige Zinsen) hat die Beschwerdegegnerin in weiteren Verlauf in Betreibung gesetzt (Zahlungsbefehl Nr. ...), womit sich der Be- schwerdeführer nicht einverstanden zeigte und Rechtsvorschlag erhob (act. II 35). 5.3 Entgegen der Darlegung der Beschwerdegegnerin (act. II 39 S. 2; vgl. auch die Beschwerdeantwort im Verfahren KV/2018/887 S. 12 Ziff. 28 ff.) können die Teilzahlungen des Beschwerdeführers vom 15. und 25. August 2017 über Fr. 177.45 und Fr. 800.-- ohne weiteres einer Rech- nung zugeordnet werden. Denn die entsprechenden Einzahlungen wurden vom Beschwerdeführer in der Mitteilungszeile mit der Referenznummer ... versehen, entsprechend dem Einzahlungsschein, der dem Schreiben vom 9. August 2017 (act. II 9) beigelegt wurde (vgl. die beiden Kontoauszüge der B.________ AG vom 28. August 2017 unter act. IA). Zudem entspricht der Totalbetrag der Zahlung von Fr. 977.45 (Fr. 177.45 + Fr. 800.--) dem vom Beschwerdeführer in der E-Mail vom 10. August 2017 (act. II 10) be- rechneten Total der Prämien für Januar bis Juli 2017. Damit ist offensicht- lich, dass der Beschwerdeführer mit den besagten Zahlungen (ausschliess- lich) die ausstehenden Prämien von Januar bis Juli 2017 begleichen wollte und nicht etwa (früher verfallende) Kostenbeteiligungen. Dass die Angabe in der Mitteilungszeile als Ausdruck dafür, welche Schuld zu tilgen sei (Art. 86 Abs. 1 des Schweizerischen Obligationenrechts [OR; SR 220]), aus- reicht, hat das Bundesgericht im Übrigen mit Entscheid vom 5. April 2019,</w:t>
      </w:r>
    </w:p>
    <w:p>
      <w:r>
        <w:t>Urteil des Verwaltungsgerichts des Kantons Bern vom 24. Juni 2019, KV/19/307, Seite 9 9C_329/2018, E. 2.2, klargestellt. Da folglich bei beiden Zahlungen eine klare Zuordnung vorlag, hat die Beschwerdegegnerin diese zu Unrecht zur Tilgung der Kostenbeteiligung Nr. ... verwendet. Werden die Zahlungen gemäss Zuordnung des Beschwerdeführers verwendet, resultiert kein Prä- mienausstand von April bis Juni 2017. Damit ist die in Betreibung gesetzte Forderung (betreffend die Prämien April bis Juni 2017) unbegründet, womit es auch nicht zulässig war, den vom Beschwerdeführer gegen den Zahlungsbefehl Nr. ... (act. II 35) erhobenen Rechtsvorschlag zu beseitigen. An der Unzulässigkeit der Rechtsöffnung ändert schliesslich – entgegen der Auffassung der Beschwerdegegnerin (Beschwerdeantwort im Verfah- ren KV/2018/887 S. 12 Ziff. 33) – der Umstand nichts, dass der Beschwer- deführer gegenüber der Beschwerdegegnerin allenfalls – bedingt durch die Verwendung des Betrags von Fr. 977.45 zur Begleichung der Prämien- ausstände – nunmehr Ausstände im Zusammenhang mit der Kostenbeteili- gung Nr. ... hat. Denn die im Rechtsöffnungsverfahren geltend gemachte Forderung muss identisch sein mit derjenigen, die in Betreibung gesetzt wurde (vgl. DANIEL STAEHELIN, in Basler Kommentar SchKG I, 2. Aufl. 2010, Art. 79 SchKG N. 10a). Die im Zahlungsbefehl Nr. ... (act. II 35) geltend gemachte Forderung bezog sich ausdrücklich auf die Prämien für die Mo- nate April bis Juni 2017 und war somit sachlich, betraglich und zeitlich defi- niert, weshalb diese nicht im Nachhinein bzw. im Rechtsöffnungsverfahren als „Teilforderung“ betreffend die Kostenbeteiligung Nr. ... betrachtet wer- den kann. Ob – entsprechend der Auffassung der Beschwerdegegnerin – ein solcher Ausstand betreffend die Kostenbeteiligung Nr. ... besteht, ist im vorliegen- den Verfahren mit Blick auf den massgebenden Streitgegenstand nicht zu prüfen. 5.4 Nachdem Dargelegten ist die Beschwerde teilweise gutzuheissen und die Dispositiv-Ziffern 2 und 3 des Einspracheentscheids vom 19. Fe- bruar 2019 sind aufzuheben. Im Übrigen ist die Beschwerde abzuweisen.</w:t>
      </w:r>
    </w:p>
    <w:p>
      <w:r>
        <w:t>Urteil des Verwaltungsgerichts des Kantons Bern vom 24. Juni 2019, KV/19/307, Seite 10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