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278 vom 6. März 2019</w:t>
      </w:r>
    </w:p>
    <w:p>
      <w:r>
        <w:t>BE Verwaltungsgericht, 2019-03-06, DE</w:t>
      </w:r>
    </w:p>
    <w:p>
      <w:r>
        <w:rPr>
          <w:b/>
        </w:rPr>
        <w:t xml:space="preserve">Quelle: </w:t>
      </w:r>
      <w:r>
        <w:t>https://mcp.opencaselaw.ch/entscheid/be_verwaltungsgericht_200_2019_278</w:t>
      </w:r>
    </w:p>
    <w:p>
      <w:r>
        <w:t>FR: BE_VERWALTUNGSGERICHT 200 2019 278 du 6 mars 2019</w:t>
      </w:r>
    </w:p>
    <w:p>
      <w:r>
        <w:t>IT: BE_VERWALTUNGSGERICHT 200 2019 278 del 6 marzo 2019</w:t>
      </w:r>
    </w:p>
    <w:p>
      <w:pPr>
        <w:pStyle w:val="Heading2"/>
      </w:pPr>
      <w:r>
        <w:t>Regeste</w:t>
      </w:r>
    </w:p>
    <w:p>
      <w:r>
        <w:t>Verfügung vom 6. März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6. März 2019 (act. IIA 237). Streitig und zu prüfen ist, ob die Beschwerdegegnerin auf die Neu- anmeldung vom 7. Dezember 2016 (act. II 155) hinsichtlich des Anspruchs auf Hilflosenentschädigung zu Recht nicht eingetreten ist.</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2. 2.1 Versicherte mit Wohnsitz und gewöhnlichem Aufenthalt (Art. 13 ATSG) in der Schweiz, die hilflos (Art. 9 ATSG) sind, haben Anspruch auf eine Hilflosenentschädigung (Art. 42 Abs. 1 IVG). Als hilflos gilt eine Person, die wegen der Beeinträchtigung der Gesundheit für alltägliche Lebensverrichtungen dauernd der Hilfe Dritter oder der per- sönlichen Überwachung bedarf (Art. 9 ATSG). Zu unterscheiden ist zwischen schwerer, mittelschwerer und leichter Hilflosigkeit (Art. 42 Abs. 2 IVG). Als hilflos gilt ebenfalls eine Person, welche zu Hause lebt und we-</w:t>
      </w:r>
    </w:p>
    <w:p>
      <w:r>
        <w:t>Urteil des Verwaltungsgerichts des Kantons Bern vom 28. Juni 2019, IV/2019/278, Seite 5 gen der Beeinträchtigung der Gesundheit dauernd auf lebenspraktische Begleitung angewiesen ist (Art. 42 Abs. 3 IVG). 2.2 Gemäss Art. 38 Abs. 1 der Verordnung vom 17. Januar 1961 über die Invalidenversicherung (IVV; SR 831.201) liegt ein Bedarf an lebens- praktischer Begleitung im Sinne von Art. 42 Abs. 3 IVG vor, wenn eine voll- jährige versicherte Person ausserhalb eines Heimes lebt und infolge Beein- trächtigung der Gesundheit ohne Begleitung einer Drittperson nicht selbst- ständig wohnen kann (lit. a), für Verrichtungen und Kontakte ausserhalb der Wohnung auf Begleitung einer Drittperson angewiesen ist (lit. b) oder ernsthaft gefährdet ist, sich dauernd von der Aussenwelt zu isolieren (lit. c). 2.3 Nach Art. 38 Abs. 3 IVV ist nur diejenige lebenspraktische Beglei- tung zu berücksichtigen, die regelmässig und im Zusammenhang mit den in Abs. 1 erwähnten Situationen erforderlich ist. Nicht darunter fallen insbe- sondere Vertretungs- und Verwaltungstätigkeiten im Rahmen von Massnahmen des Erwachsenenschutzes nach den Artikeln 390-398 des Schweizerischen Zivilgesetzbuches (ZGB; SR 210). Nach Randziffer 8053 des Kreisschreibens über Invalidität und Hilflosigkeit in der Invalidenversi- cherung (KSIH) ist die lebenspraktische Begleitung regelmässig im Sinne von Art. 38 Abs. 3 Satz 1 IVV, wenn sie über eine Periode von drei Mona- ten gerechnet im Durchschnitt mindestens zwei Stunden pro Woche benötigt wird. 2.4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IVV). Wurde eine Rente, eine Hilflosenentschädigung oder ein Assistenzbeitrag wegen eines zu geringen Invaliditätsgrades, wegen fehlender Hilflosigkeit oder weil aufgrund des zu geringen Hilfebedarfs kein Anspruch auf einen Assistenzbeitrag entsteht, verweigert, so wird eine neue Anmeldung nur geprüft, wenn die Voraussetzung nach Abs. 2 erfüllt ist (Art. 87 Abs. 3 IVV, vgl. auch BGE 130 V 343 E. 3.5.3 S. 351). Erheblich ist eine Sachverhaltsänderung, wenn angenommen werden kann, der An- spruch auf eine Invalidenrente (oder deren Erhöhung) sei begründet, falls sich die geltend gemachten Umstände als richtig erweisen sollten (SVR</w:t>
      </w:r>
    </w:p>
    <w:p>
      <w:r>
        <w:t>Urteil des Verwaltungsgerichts des Kantons Bern vom 28. Juni 2019, IV/2019/278, Seite 6 2014 IV Nr. 33 S. 121 E. 2). Diese Eintretensvoraussetzung soll verhindern, dass sich die Verwaltung immer wieder mit gleichlautenden und nicht näher begründeten, d.h. keine Veränderung des Sachverhalts darlegenden Ren- tengesuchen befassen muss (BGE 133 V 108 E. 5.3.1 S. 112). 2.5 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 haftmachung höhere oder weniger hohe Anforderungen stellen. Insofern steht ihr ein gewisser Beurteilungsspielraum zu, den der Richter grundsätz- lich zu respektieren hat. Die Behandlung der Eintretensfrage durch die Verwaltung ist deshalb vom Gericht nur zu überprüfen, wenn das Eintreten streitig ist (BGE 109 V 108 E. 2b S. 114). 2.6 Die versicherte Person muss mit der Neuanmeldung oder dem Re- visionsgesuch die massgebliche Tatsachenänderung glaubhaft machen. Der Untersuchungsgrundsatz, wonach das Gericht von Amtes wegen für die richtige und vollständige Abklärung des rechtserheblichen Sachverhalts zu sorgen hat, spielt insoweit nicht (vgl. BGE 130 V 64 E. 5.2.5 S. 69). Mit dem Beweismass des Glaubhaftmachens sind herabgesetzte Anforde- rungen an den Beweis verbunden; der Sachverhalt muss also nicht nach dem im Sozialversicherungsrecht sonst üblichen Grad der überwiegenden Wahrscheinlichkeit erstellt sein. Es genügt, dass für den geltend gemach- ten rechtserheblichen Sachumstand wenigstens gewisse Anhaltspunkte bestehen, auch wenn durchaus noch mit der Möglichkeit zu rechnen ist, bei eingehender Abklärung werde sich die behauptete Sachverhaltsdarstellung nicht erstellen lassen. Grundsätzlich unterliegt das Glaubhaftmachen weni- ger strengen Anforderungen als im Zivilprozessrecht. Dort muss – im Ge- gensatz zum vollen Beweis – das Gericht von der Richtigkeit der behaupte- ten Sachdarstellung immerhin überzeugt sein, wenn auch nicht vollständig und unter Ausschluss jeden Zweifels (SVR 2017 IV Nr. 57 S. 188 E. 2.2, 2014 IV Nr. 33 S. 121 E. 2).</w:t>
      </w:r>
    </w:p>
    <w:p>
      <w:r>
        <w:t>Urteil des Verwaltungsgerichts des Kantons Bern vom 28. Juni 2019, IV/2019/278, Seite 7 2.7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Zunächst gilt festzuhalten, dass eine versicherte Person mit einer rechtsgenüglichen Erstanmeldung bei der Invalidenversicherung grundsätz- lich alle bis zum Zeitpunkt der Verfügung bestehenden Leistungsansprüche wahrt und sich die Sachverhaltsabklärungen der Verwaltung auf sämtliche in Betracht fallenden Leistungen erstrecken, auch wenn diese nicht aus- drücklich geltend gemacht worden sind (Rz. 1030 und 2033 des Kreis- schreibens über das Verfahren in der Invalidenversicherung [KSVI]; MEY- ER/REICHMUTH, Bundesgesetz über die Invalidenversicherung [IVG], 3. Aufl. 2014, S. 519, N. 3). Diese Grundsätze lassen sich indes nicht auf den vor- liegenden neuanmeldungsrechtlichen Kontext übertragen. Allein aus dem Umstand, dass die Beschwerdegegnerin auf die Neuanmeldung betreffend den Rentenanspruch (act. II 155) eingetreten ist, folgt keine Pflicht der Verwaltung auch die Hilflosenentschädigung materiell zu prüfen. Denn mit dem unbestrittenen Statuswechsel liegt für den Rentenanspruch, nicht aber für den Anspruch auf Hilflosenentschädigung ein relevanter Neuanmel- dungsgrund vor (vgl. E. 2.4 hiervor); ist doch für die Bemessung der Hilflo- sigkeit der Status unerheblich (vgl. Art. 42ter Abs. 1 Satz 1 IVG). Ein Neu- anmeldungsgrund kann vorliegend auch nicht mit dem Argument substitu- iert werden, die Verfügung vom 1. Mai 2015 (act. II 137) sei in wiedererwä- gungsrechtlichem Sinn zweifellos unrichtig gewesen, denn die besagte Verfügung wurde gerichtlich überprüft, womit der Anwendungsbereich von Art. 53 Abs. 1 ATSG nicht betroffen ist. Soweit die Beschwerdeführerin nunmehr sinngemäss geltend macht, der VGE IV/2015/246 vom 11. No- vember 2015 (act. II 141) sei zweifellos unrichtig (Replik vom 6. Juni 2019 S. 2), ist dies unbehelflich. Einerseits wäre dieser Tatbestand nicht dem</w:t>
      </w:r>
    </w:p>
    <w:p>
      <w:r>
        <w:t>Urteil des Verwaltungsgerichts des Kantons Bern vom 28. Juni 2019, IV/2019/278, Seite 8 ausserordentlichen Rechtsmittel der Revision im Sinne von Art. 95 VRPG zugänglich und andererseits wurde die Beschwerde an das Bundesgericht vom 16. Dezember 2015 (act. II 142) im Rahmen des Entscheides über die unentgeltliche Rechtspflege im bundesgerichtlichen Verfahren als aus- sichtslos qualifiziert (act. II 143 S. 2 f.), woraufhin die Beschwerdeführerin auf eine materielle Überprüfung des Verwaltungsgerichtsurteils vom</w:t>
      </w:r>
    </w:p>
    <w:p>
      <w:r>
        <w:rPr>
          <w:b/>
        </w:rPr>
        <w:t>E. 6</w:t>
      </w:r>
    </w:p>
    <w:p>
      <w:r>
        <w:t>Oktober 2000 über den Allgemeinen Teil des Sozialversicherungsrechts (ATSG; SR 830.1) i.V.m. Art. 54 Abs. 1 lit. a des kantonalen Gesetzes vom</w:t>
      </w:r>
    </w:p>
    <w:p>
      <w:r>
        <w:rPr>
          <w:b/>
        </w:rPr>
        <w:t>E. 11</w:t>
      </w:r>
    </w:p>
    <w:p>
      <w:r>
        <w:t>November 2015 (act. II 141) verzichtete resp. den Kostenvorschuss nicht leistete und am 9. März 2016 der Nichteintretensentscheid BGer 9C_941/2015 (act. II 146) erging. Zu prüfen ist somit, ob die Beschwerdeführerin eine wesentliche Sachver- haltsänderung in den für den Grad der Hilflosigkeit erheblichen Tatsachen glaubhaft gemacht hat (vgl. E. 2.4 hiervor). Dabei ist der Sachverhalt im Zeitpunkt der rechtskräftigen Verfügung vom 1. Mai 2015 (act. II 137) mit demjenigen im Zeitpunkt der vorliegend angefochtenen Nichteintretensver- fügung vom 6. März 2019 (act. IIA 237) zu vergleichen (E. 2.7 hiervor). 3.2 Es ist – wie im früheren Beschwerdeverfahren (VGE IV/2015/246, E. 4.1; act. II 141 S. 16 Ziff. 4.1) – weiterhin unbestritten (Beschwerde S. 3 f.; Replik S. 2 ff.), dass die Beschwerdeführerin in den alltäglichen Lebens- verrichtungen nicht eingeschränkt ist, womit es allein um eine andauernde lebenspraktische Begleitung im Sinne von Art. 42 Abs. 3 IVG geht. Mit Verwaltungsgerichtsurteil vom 11. November 2015 wurde einlässlich und schlüssig dargelegt, weshalb die Voraussetzungen einer lebenspraktischen Begleitung in Bezug auf die Situation im Mai 2015 (act. II 137) nicht gege- ben waren. Insbesondere wurde das Vorliegen der (alternativen) Tat- bestände gemäss Art. 38 Abs. 1 IVV (vgl. E. 2.2 hiervor) resp. die erforder- liche Regelmässigkeit einer lebenspraktischen Begleitung gemäss Art. 38 Abs. 3 IVV (vgl. E. 2.3 hiervor) verneint (VGE IV/2015/246 E. 4.3; act. II 141 S. 16 ff. Ziff. 4.3). Aus dem Hausarztbericht von Dr. med. C.________, Facharzt für Allgemeine Innere Medizin, vom 20. März 2017 (act. IIA 166 S. 2 f.), den Abklärungsberichten Haushalt/Erwerb vom 16. April 2018 (act. IIA 209 S. 2 Ziff. 1.1) und vom 26. Juli 2018 (act. IIA 216 S. 2 Ziff. 1.1) wie auch aus dem polydisziplinären Gutachten der MEDAS D.________ AG (fortan: MEDAS), vom 26. Februar 2018 (act. IIA 197.1) ergeben sich keine Anhaltspunkte, dass sich der Gesundheitszustand seither verändert haben</w:t>
      </w:r>
    </w:p>
    <w:p>
      <w:r>
        <w:t>Urteil des Verwaltungsgerichts des Kantons Bern vom 28. Juni 2019, IV/2019/278, Seite 9 könnte. Zwar bejahten die Sachverständigen die Frage, ob die Beschwer- deführerin aufgrund ihrer kognitiven Defizite dauernd und regelmässig auf lebenspraktische Hilfe angewiesen sei (act. IIA 197.1 S. 44 Ziff. 4), sie hiel- ten jedoch bloss fest, durch die Intelligenzminderung bedürfe es „einer Hil- festellung (z.B. durch die von der Versicherten genannten Rechtsvertrete- rin)“. Aus dem exemplarisch genannten Beizug einer Rechtsvertretung für behördliche Angelegenheiten (vgl. auch act. IIA 197.1 S. 43, VII Zusatzfra- gen der IV-Stelle, Ziff. 1) kann indes von vornherein nicht auf das Erforder- nis einer andauernden lebenspraktischen Begleitung geschlossen werden, lassen sich doch auch eine Vielzahl gesunder Personen im Rahmen eines Verwaltungs- bzw. Rechtspflegeverfahrens rechtlich vertreten. Für den pauschalen Hinweis auf den Bedarf einer „Hilfestellung“ fehlt im MEDAS- Gutachten denn auch jegliche Begründung. Im Übrigen liess die polydiszi- plinäre Expertise vom 26. Februar 2018 keinen Zweifel daran, dass die Intelligenzminderung bereits seit frühester Kindheit besteht (act. IIA 197.1 S. 25 Ziff. 2.5.1 und S. 35 Ziff. 3), was aktenanamnestisch ausgewiesen ist (act. II 3.1 S. 1 ff.). Aufgrund der statischen Gesundheitsbeeinträchtigung ist im nicht näher begründeten gutachterlichen Postulat eines Hilfsbedarfs somit höchstens eine unterschiedliche Beurteilung eines im Wesentlichen gleich gebliebenen Sachverhalts zu erblicken, die unter revisions- resp. neuanmeldungsrechtlichem Gesichtswinkel nach ständiger Praxis unerheb- lich ist (BGE 144 I 103 E. 2.1 S. 105, 141 V 9 E. 2.3 S. 11; SVR 2018 UV Nr. 22 S. 79 E. 2.2.1). Anamnestisch bestehen eine erhaltene Teilselbstän- digkeit, Selbstversorgung, soziale Integration und Aktivität (act. IIA 197.1 S. 41 Ziff. 3). Dass sich daran etwas geändert hätte, ist aus den Abklärungs- berichten Haushalt/Erwerb vom 16. April 2018 (act. IIA 209 S. 9 ff. Ziff. 7.2) und vom 26. Juli 2018 (act. IIA 216 S. 9 ff. Ziff. 6.2) nicht ersichtlich. Viel- mehr wurde festgehalten, die Beschwerdeführerin könne für sich selber die notwendigen Haushaltsarbeiten erledigen, sich eine eigene Tagesstruktur geben und gezielt Hilfe anfordern (act. IIA 209 S. 15). Im Abklärungsbericht Haushalt/Erwerb vom 16. April 2018 (act. IIA 209 S. 15) und in den Stel- lungnahmen des Bereichs Abklärungen vom 27. Juli 2018 (act. IIA 217 S. 4) und vom 19. Oktober 2018 (act. IIA 224 S. 3 ff.) wurde deshalb eine neuanmeldungsrechtlich relevante Sachverhaltsentwicklung – auch unter Berücksichtigung des herabgesetzten Beweisgrades (vgl. E. 2.6 hiervor) – richtigerweise verneint.</w:t>
      </w:r>
    </w:p>
    <w:p>
      <w:r>
        <w:t>Urteil des Verwaltungsgerichts des Kantons Bern vom 28. Juni 2019, IV/2019/278, Seite 10 3.3 Inwiefern Art. 6 des Übereinkommens vom 13. Dezember 2006 über die Rechte von Menschen mit Behinderung (SR 0.109) sowie der Anspruch auf ein faires Abklärungsverfahren (Art. 6 der Europäischen Menschen- rechtskonvention [EMRK; SR 0.101]) verletzt worden sein sollen (vgl. act. IIA 219 S. 4; Beschwerde S. 4; Replik S. 4), wurde weder näher begründet noch ergibt sich dies aus den Akten, zumal nicht der materielle Anspruch auf eine Hilflosenentschädigung, sondern allein das Vorliegen eines Neu- anmeldungsgrundes in Frage stand. 3.4 Nach dem Dargelegten ist die Beschwerdegegnerin zu Recht auf die Neuanmeldung vom 7. Dezember 2016 hinsichtlich des Anspruchs auf Hilflosenentschädigung (act. II 155) nicht eingetreten, weshalb die Be- schwerde abzuweisen ist.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Vorliegend sind die Verfahrenskosten auf Fr. 500.-- festzusetzen und – unter Vorbehalt der unentgeltlichen Rechtspflege (vgl. E. 4.3 hiernach) – der unterliegenden Beschwerdeführerin zur Bezahlung aufzuerlegen. 4.2 Bei diesem Verfahrensausgang hat die Beschwerdeführerin keinen Anspruch auf eine Parteientschädigung (Umkehrschluss aus Art. 1 Abs. 1 IVG i.V.m. Art. 61 lit. g ATSG). 4.3 Zu prüfen bleibt das Gesuch um unentgeltliche Rechtspflege: 4.3.1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w:t>
      </w:r>
    </w:p>
    <w:p>
      <w:r>
        <w:t>Urteil des Verwaltungsgerichts des Kantons Bern vom 28. Juni 2019, IV/2019/278, Seite 11 werden, wenn die tatsächlichen und rechtlichen Verhältnisse es rechtferti- gen (Art. 61 lit. f ATSG sowie Art. 111 Abs. 1 und 2 VRPG; SVR 2011 IV Nr. 22 S. 61 E. 2, 2011 UV Nr. 6 S. 22 E. 6.1). 4.3.2 Die Bedürftigkeit im Sinne der Prozessarmut ist gestützt auf das Sozialhilfebudget 2019 aktenkundig (act. IA unpaginiert). Zudem kann das Verfahren nicht als von vornherein aussichtslos bezeichnet werden und die Notwendigkeit einer Rechtsverbeiständung ist zu bejahen. Das Gesuch um unentgeltliche Rechtspflege und Beiordnung von Rechtsanwältin Dr. iur. B.________ als amtliche Anwältin ist demnach gutzuheissen. Somit ist die Beschwerdeführerin – unter Vorbehalt der Nachzahlungspflicht gemäss Art. 113 VRPG i.V.m. Art. 123 der Schweizerischen Zivilprozessordnung vom 19. Dezember 2008 (Zivilprozessordnung, ZPO; SR 272) – von der Zahlungspflicht betreffend die Verfahrenskosten zu befreien. Festzusetzen bleibt das amtliche Honorar von Rechtsanwältin Dr. iur. B.________. 4.4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6. Juni 2019 macht Rechtsanwältin Dr. iur. B.________ einen Zeitaufwand von 9.65 Stunden bzw. ein Honorar von Fr. 2'412.50 (9.65h x Fr. 250.--) zuzüglich Auslagen von Fr. 34.10, total Fr. 2'446.60, geltend (Dr. iur. B.________ ist im UID-Register ohne MWSt.- Pflicht verzeichnet). Dies gibt zu keinen Beanstandungen Anlass. Der ta- rifmässige Parteikostenersatz wird dementsprechend auf Fr. 2'446.60 fest- gesetzt. Davon ist Rechtsanwältin Dr. iur. B.________ nach Eintritt der</w:t>
      </w:r>
    </w:p>
    <w:p>
      <w:r>
        <w:t>Urteil des Verwaltungsgerichts des Kantons Bern vom 28. Juni 2019, IV/2019/278, Seite 12 Rechtskraft dieses Urteils aus der Gerichtskasse ein amtliches Honorar von Fr. 1'930.-- (9.65h x Fr. 200.--) zuzüglich Auslagen von Fr. 34.10, total so- mit eine Entschädigung von Fr. 1'964.10, auszurichten. Vorbehalten bleibt die Nachzahlungspflicht der Beschwerdeführerin gegenüber dem Kanton Bern entsprechend den Voraussetzungen von Art. 123 ZPO (Art. 113 VR- PG). Demnach entscheidet der Einzelrichter: 1. Die Beschwerde wird abgewiesen. 2. Das Gesuch um unentgeltliche Rechtspflege und Beiordnung von Rechtsanwältin Dr. iur. B.________ als amtliche Anwältin wird gutge- heissen. 3. Die Verfahrenskosten von Fr. 500.-- werden der Beschwerdeführerin zur Bezahlung auferlegt. Aufgrund der gewährten unentgeltlichen Rechtspflege wird die Beschwerdeführerin – unter Vorbehalt der Nach- zahlungspflicht gemäss Art. 123 ZPO – jedoch von der Zahlungspflicht befreit. 4. Es wird keine Parteientschädigung zugesprochen. 5. Der tarifmässige Parteikostenersatz der amtlichen Anwältin wird in die- sem Verfahren auf Fr. 2'446.60 (inkl. Auslagen) festgesetzt. Davon wird Rechtsanwältin Dr. iur. B.________ nach Eintritt der Rechtskraft dieses Urteils aus der Gerichtskasse eine auf Fr. 1'964.10 festgesetzte Ent- schädigung (inkl. Auslagen) vergütet. Vorbehalten bleibt die Nachzah- lungspflicht nach Art. 123 ZPO.</w:t>
      </w:r>
    </w:p>
    <w:p>
      <w:r>
        <w:t>Urteil des Verwaltungsgerichts des Kantons Bern vom 28. Juni 2019, IV/2019/278, Seite 13 6. Zu eröffnen (R): - Rechtsanwältin Dr. iur. B.________ z.H. der Beschwerdeführe- rin - IV-Stelle Bern - Bundesamt für Sozialversicherungen - Steuerverwaltung des Kantons Bern, Bereich Inkasso, Postfach 8334, 3001 Bern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