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252 vom 18. Oktober 2019</w:t>
      </w:r>
    </w:p>
    <w:p>
      <w:r>
        <w:t>BE Verwaltungsgericht, 2019-10-18, DE</w:t>
      </w:r>
    </w:p>
    <w:p>
      <w:r>
        <w:rPr>
          <w:b/>
        </w:rPr>
        <w:t xml:space="preserve">Quelle: </w:t>
      </w:r>
      <w:r>
        <w:t>https://mcp.opencaselaw.ch/entscheid/be_verwaltungsgericht_200_2019_252</w:t>
      </w:r>
    </w:p>
    <w:p>
      <w:r>
        <w:t>FR: BE_VERWALTUNGSGERICHT 200 2019 252 du 18 octobre 2019</w:t>
      </w:r>
    </w:p>
    <w:p>
      <w:r>
        <w:t>IT: BE_VERWALTUNGSGERICHT 200 2019 252 del 18 ottobre 2019</w:t>
      </w:r>
    </w:p>
    <w:p>
      <w:pPr>
        <w:pStyle w:val="Heading2"/>
      </w:pPr>
      <w:r>
        <w:t>Regeste</w:t>
      </w:r>
    </w:p>
    <w:p>
      <w:r>
        <w:t>Einspracheentscheid vom 4.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4. März 2019 (act. II A40). Streitig und zu prüfen ist ein Anspruch der Beschwerdeführerin auf Unfallversicherungsleistungen infolge des Ereig- nisses vom 17. Dezember 2017 über den 21. März 2018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 rung setzt nebst anderem einen natürlichen und adäquaten Kausalzusam- menhang zwischen dem Unfall und dem eingetretenen Schaden voraus</w:t>
      </w:r>
    </w:p>
    <w:p>
      <w:r>
        <w:t>Urteil des Verwaltungsgerichts des Kantons Bern vom 18.Okt. 2019, UV/19/252, Seite 5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anderen Worten nicht weggedacht werden kann, ohne dass auch die eingetretene gesundheitliche Störung entfiele ("conditio sine qua non"; BGE 142 V 435 E. 1 S. 438, 129 V 177 E. 3.1 S. 181; Entscheid des BGer vom 21. September 2018, 8C_781/2017, E. 5.1). Für den Nachweis einer unfallkausalen gesundheitlichen Schädigung ist die Formel "post hoc, ergo propter hoc", nach deren Bedeutung eine gesund- heitliche Schädigung schon dann als durch einen Unfall verursacht gilt, wenn sie nach diesem aufgetreten ist, nicht massgebend (BGE 119 V 335 E. 2b bb S. 341; SVR 2016 UV Nr. 24 S. 78 E. 7.2).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zu, wenn entweder der</w:t>
      </w:r>
    </w:p>
    <w:p>
      <w:r>
        <w:t>Urteil des Verwaltungsgerichts des Kantons Bern vom 18. Okt. 2019, UV/19/252, Seite 6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(SVR 2016 UV Nr. 18 S. 56 E. 2.1.1; Entscheid des BGer vom 21. September 2018, 8C_781/2017,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2.2.2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t>Urteil des Verwaltungsgerichts des Kantons Bern vom 18.Okt. 2019, UV/19/252, Seite 7 Bei organisch objektiv ausgewiesenen Unfallfolgen deckt sich die adäquate Kausalität weitgehend mit der natürlichen Kausalität; die Adäquanz hat hier praktisch keine selbstständige Bedeutung (BGE 140 V 356 E. 3.2 S. 358; SVR 2018 UV Nr. 3 S. 10 E. 3.1). 2.3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w:t>
      </w:r>
    </w:p>
    <w:p>
      <w:r>
        <w:t>Urteil des Verwaltungsgerichts des Kantons Bern vom 18. Okt. 2019, UV/19/252, Seite 8 lassen. Im Hinblick auf die erhebliche Bedeutung, welche den Arztberichten im Sozialversicherungsrecht zukommt, ist an die Unparteilichkeit des Gut- achters allerdings ein strenger Massstab anzulegen (BGE 125 V 351 E. 3b ee S. 354). 2.4 Soll ein Versicherungsfall ohne Einholung eines externen Gutach- tens entschieden werden (wobei zu beachten ist, dass die Berichte und Gutachten ständiger Vertrauensärzte in beweisrechtlicher Hinsicht grundsätzlich den gleichen Stellenwert wie die verwaltungsinternen Arztbe- richte und Gutachten der UVG-Versicherer haben [RKUV 2001 KV 189 S. 492 E. 5b]), so sind an die Beweiswürdigung strenge Anforderungen zu stellen.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Bestehen auch nur geringe Zweifel an der Zuverlässigkeit und Schlüssigkeit der ärztlichen Feststellungen, wird das Gericht entweder ein Gerichtsgutachten anzuordnen oder die Sache an den Versicherungs- träger zurückzuweisen haben, damit dieser im Verfahren nach Art 44 ATSG eine Begutachtung veranlasst (BGE 142 V 58 E. 5.1 S. 65, 135 V 465 E. 4.4 - 4.6 S. 469, 122 V 157 E. 1d S. 162). 3. 3.1 Dass das Ereignis vom 17. Dezember 2017 die kumulativen Tat- bestandsvoraussetzungen des Unfallbegriffs gemäss Legaldefinition (vgl. E. 2.1 hiervor) erfüllt und die Beschwerdegegnerin in der Folge leistungs- pflichtig war, ist zu Recht unbestritten. Streitig und zu prüfen ist, ob die Be- schwerdegegnerin eine Leistungspflicht ihrerseits über den 21. März 2018 hinaus zu Recht verneint hat. Indem sie zunächst vorübergehende Leistun- gen in Form von Taggeld erbrachte (act. II A12), anerkannte sie das Vorlie- gen der Anspruchsvoraussetzungen, insbesondere die leistungsbegrün- dende natürliche Unfallkausalität (vgl. Entscheid des BGer vom 1. Februar</w:t>
      </w:r>
    </w:p>
    <w:p>
      <w:r>
        <w:t>Urteil des Verwaltungsgerichts des Kantons Bern vom 18.Okt. 2019, UV/19/252, Seite 9 2011, 8C_895/2010, E. 5.1). Dass sie die Behandlungen bis zum 21. März 2018 „aus diagnostischem Zweck“ (act. II A14 S. 2) – also bloss im Sinne von Abklärungskosten (vgl. dazu Art. 45 Abs. 1 ATSG sowie Empfehlung Nr. 1/92 der Ad-hoc-Kommission Schaden UVG) – übernahm, ändert daran nichts, zumal sie gleichzeitig mit einem eingetretenen Status quo sine ar- gumentierte, was ebenfalls eine Unfallkausalität voraussetzt (vgl. E. 2.2.1 hiervor). Demnach liegt die Beweislast für das Dahinfallen des Kausalzu- sammenhangs grundsätzlich bei ihr (vgl. E. 2.2.1 hiervor). Diese Beweis- lastumkehr gilt indes nicht für die im MRI vom 21. März 2018 erstmals be- fundete Ruptur der Supraspinatussehne (act. IIA M5), da die Beschwerde- gegnerin ihre Leistungspflicht für diese spezifische Verletzung von Anfang an bestritt (vgl. Entscheide des BGer vom 14. Oktober 2015, 8C_444/2015, E. 4.6, und vom 15. Mai 2014, 8C_805/2013, E. 4.3; SZS 2017 S. 658 ff.). 3.2 3.2.1 Die Beschwerdegegnerin stützt ihren Entscheid im Wesentlichen auf die medizinische Stellungnahme ihres beratenden Arztes Dr. med. H.________ vom 23. August 2018 (act. IIA M19 bzw. M20; vgl. act. II A40 S. 6 Ziff. 10 f.). Darin betont Dr. med. H.________, dass die Beschwerde- führerin über 40 Jahre alt sei und dass in diesem Alter die degenerativen Erkrankungen der Rotatorenmanschette beginnen würden. Ausserdem übe die Beschwerdeführerin eine körperlich schwere berufliche Tätigkeit (…) aus, die die oberen Gliedmassen viel beanspruche. Zudem leide sie an einem Diabetes mellitus Typ I und somit an einer metabolischen Störung, die bekanntlich Mikroangiopathien verursache. Dadurch werde unter ande- rem die Vaskularisation der Sehnen geschwächt. Beim MRI vom 21. März 2018 und beim Eingriff vom 5. April 2018 sei keine komplette Ruptur der Rotatorenmanschette festgestellt worden, sondern nur eine Verletzung des höheren Teils des Supraspinatus. Es sei daran zu erinnern, dass der Sturz weder heftig gewesen sei noch aus einer beträchtlichen Höhe stattgefun- den habe. Die Beschwerdeführerin sei nämlich infolge eines Albtraums aus dem Bett gefallen. Das Fehlen von Beschwerden vor dem Unfall stelle das Hauptargument des behandelnden Arztes für eine Unfallkausalität der Lä- sion an der Supraspinatussehne dar, was als Beweis nicht ausreiche. Die Tatsache, dass im Falle der Beschwerdeführerin der subakromiale Raum</w:t>
      </w:r>
    </w:p>
    <w:p>
      <w:r>
        <w:t>Urteil des Verwaltungsgerichts des Kantons Bern vom 18. Okt. 2019, UV/19/252, Seite 10 verengt sei und dass eine AC-Gelenksarthrose verbunden mit einer diabe- tischen Stoffwechselstörung vorliege, seien viel überzeugendere Argumen- te, um zu beweisen, dass das Ereignis vom 17. Dezember 2017 die Schulterproblematik zwar offenbart, aber nicht verursacht habe. In diesem Zusammenhang könne man sagen, dass es sich um eine zufällige Entde- ckung gehandelt und das Ereignis vom 17. Dezember 2017 nur zu einer einfachen Kontusion geführt habe, wie sie der erstkonsultierte Arzt als Dia- gnose stellte, die einen Vorzustand verschlimmert habe. In Abwesenheit einer nachgewiesenen objektivierbaren traumatischen Verletzung habe es sich um eine vorübergehende und nicht um eine dauerhafte und erhebliche Verschlimmerung des Gesundheitszustands gehandelt. Es könne somit ein Status quo sine festgesetzt werden. Eine einfache Schulterprellung heile normalerweise innert vier bis sechs Wochen. Aufgrund des Vorzustands könne davon ausgegangen werden, dass die Genesungsdauer ein biss- chen länger sei, aber normalerweise nicht mehr als drei Monate nach dem Unfallereignis (vgl. act. IIA M20 S. 4 f. sowie act. IIA M19 S. 3 f.). 3.2.2 Die behandelnden Ärzte hielten demgegenüber mit Schreiben vom 3. Dezember 2018 unter Verweis auf ihre Stellungnahme vom 11. Juni 2018 (act. IIA M16) an ihrer abweichenden Auffassung fest. Wie sie bereits klargestellt hätten, sei die Beschwerdeführerin beim Gang auf die Toilette in der Nacht auf die linke Körperhälfte gestürzt und hätte anschliessend über linksseitige Schulterschmerzen geklagt, die vorher nicht vorhanden gewesen seien. Der Unfallmechanismus sei aus ihrer Sicht hinreichend, um die im MRI diagnostizierte Partialruptur der Supraspinatussehne hervorzu- rufen. Intraoperativ sei der MRI-Befund bestätigt worden. Die intraoperative Bilddokumentation zeige den entsprechenden Befund mit rupturierten Seh- nenfasern, welche klar für eine traumatische Genese sprächen. Wie bereits von Dr. med. I.________, Facharzt für Orthopädische Chirurgie und Trau- matologie des Bewegungsapparates, erörtert, gebe es keinen Unfallme- chanismus, bei dem eine Läsion der Rotatorenmanschette ausgeschlossen werden könne (vgl. act. IIA M16). Somit sei bei asymptomatischer Schulter vor dem Unfallereignis (und Fehlen einer höhergradigen degenerativen Situation, wie Dr. med. I.________ betonte; eine höhergradige degenerati- ve Situation sei auch intraoperativ nicht festzustellen gewesen [vgl. act. IIA M16]) und seither kontinuierlich bestehenden Schmerzen</w:t>
      </w:r>
    </w:p>
    <w:p>
      <w:r>
        <w:t>Urteil des Verwaltungsgerichts des Kantons Bern vom 18.Okt. 2019, UV/19/252, Seite 11 von einer traumatischen Genese der im MRI vom 21. März 2018 (vgl. act. IIA M5) diagnostizierten Partialruptur der Supraspinatussehne aus- zugehen (act. IIA M26). 3.2.3 Hierzu nahm der beratende Arzt der Beschwerdegegnerin, Dr. med. H.________, am 17. Januar 2019 Stellung (act. IIA M27). Es sei unmöglich, mittels Arthroskopie medizinisch festzustellen, ob ein Sehnen- riss traumatisch bedingt sei oder nicht. Die Bilder seien bei einer fortschrei- tenden Delamination und einem traumatischen Riss die gleichen. Der Riss einiger Fasern reiche nicht für eine schlüssige Kausalität. Er halte an sei- nem Bericht fest (act. IIA M27). 3.3 Die vorliegenden Akten erlauben keine abschliessende Beurtei- lung, ob die bei der Beschwerdeführerin im MRI vom 21. März 2018 dia- gnostizierte und intraoperativ bestätigte Partialruptur der Supraspinatus- sehne überwiegend wahrscheinlich durch das Unfallereignis vom 17. De- zember 2017 verursacht worden ist. Der beratende Arzt der Beschwerde- gegnerin begründet seine Beurteilung grundsätzlich plausibel. Er geht da- von aus, dass sich beim Ereignis vom 17. Dezember 2017 ein Sturz aus dem Bett, d.h. aus geringer Höhe zugetragen hat (vgl. act. IIA M20 S. 4 resp. M19 S. 4 sowie E. 3.2.1 hiervor), was die diagnostizierte Partialruptur der Supraspinatussehne nicht erklären könne. Für diesen Geschehensab- lauf bestehen zwar gewisse Anhaltspunkte (vgl. act. IIA M1 und M8), doch enthalten die Akten auch Schilderungen, wonach ein Sturz auf die Schulter beim Aufstehen (vgl. act. II A1) bzw. durch Stolpern beim Gang auf die Toi- lette (vgl. act. IIA M4, M12 und M26 sowie act. II A7) und damit aus einer grösseren Höhe vorlag. Soweit Dr. med. H.________ unfallfremde Gründe für den Sehnenriss erwähnt (die Beschwerdeführerin sei über 40 Jahre alt, übe als … eine körperlich schwere berufliche Tätigkeit aus und leide an einem Diabetes; vgl. act. IIA M20 S. 4 resp. M19 S. 3 f. sowie E. 3.2.1 hier- vor), ist festzuhalten, dass eine Teilkausalität der Partialruptur der Supra- spinatussehne als Folge des Unfallereignisses vom 17. Dezember 2017 für das Fortbestehen einer Leistungspflicht der Beschwerdegegnerin über den 21. März 2018 hinaus genügt (vgl. E. 2.2.1 hiervor) und dass sich gemäss Akten weder im MRI vom 21. März 2018 (vgl. act. IIA M5) noch intraopera-</w:t>
      </w:r>
    </w:p>
    <w:p>
      <w:r>
        <w:t>Urteil des Verwaltungsgerichts des Kantons Bern vom 18. Okt. 2019, UV/19/252, Seite 12 tiv wesentliche degenerative Veränderungen zeigten (vgl. act. IIA M12 und M16). Die Berichte der behandelnden Ärzte begründen vorliegend zumindest ge- ringe Zweifel an der Zuverlässigkeit und Schlüssigkeit der Ausführungen des beratenden Arztes im Sinne obgenannter Rechtsprechung (vgl. E. 2.4 hiervor). So diagnostizierten sie im Bericht vom 23. März 2018 (act. IIA M7) eine traumatische Partialruptur der Supraspinatussehne. Nach ihrer Ein- schätzung ist der Unfallmechanismus denn auch geeignet, um die festge- stellte Partialruptur der Supraspinatussehne zu verursachen. Sodann sa- hen sie ihre Befunde intraoperativ bestätigt, wobei die rupturierten Sehnen- fasern klar für eine traumatische Genese sprechen würden (act. IIA M26; was gemäss Dr. med. H.________ aber nicht genügt [act. IIA M27]). Kommt hinzu, dass sich weder im MRI noch intraoperativ wesentliche de- generative Veränderungen fanden. Soweit sich die behandelnden Ärzte zur Begründung der Unfallkausalität auf die frühere Beschwerdefreiheit der Beschwerdeführerin berufen (vgl. act. IIA M12, M16 und M26), ist dies je- doch nicht massgebend (vgl. die in E. 2.2.1 hiervor dargelegte Praxis be- treffend den Grundsatz „post hoc, ergo propter hoc“). Es bleibt anzufügen, dass die im September 2018 erwähnte Mobbingsitua- tion (vgl. act. IIA M21) erst nachträglich aufgetreten ist und für die hier in- teressierende Kausalitätsproblematik damit keine Bedeutung hat. Eine Leistungsbegehrlichkeit der Beschwerdeführerin ist dadurch wie auch durch den späteren Wunsch nach einer Kapsulotomie (vgl. act. IIA M22 f.) nicht erstellt. 3.4 Der Sachverhalt ist nach dem Dargelegten ungenügend abgeklärt. Die Beschwerdegegnerin hat vorab den genauen Hergang des Ereignisses vom 17. Dezember 2017 zu ermitteln. Danach hat sie die Genese der von der Beschwerdeführerin geklagten Schulterbeschwerden links mittels Gut- achten bei einem unabhängigen Sachverständigen abzuklären, wobei einer allfälligen Teilkausalität Rechnung zu tragen ist und die Beschwerdegegne- rin je nach Ergebnis der Abklärungen eine Leistungspflicht über den 21. März 2018 hinaus auch unter dem Aspekt der unfallähnlichen Körper- schädigung im Sinne von Art. 6 Abs. 2 UVG zu prüfen und anschliessend über die streitige Leistungseinstellung gegebenenfalls neu zu verfügen ha-</w:t>
      </w:r>
    </w:p>
    <w:p>
      <w:r>
        <w:t>Urteil des Verwaltungsgerichts des Kantons Bern vom 18.Okt. 2019, UV/19/252, Seite 13 ben wird. Die Beschwerde ist somit im Sinne des Eventualantrags der Be- schwerdeführerin gutzuheissen und die Sache in Aufhebung des angefoch- tenen Einspracheentscheids an die Beschwerdegegnerin zurückzuweisen. 4. 4.1 Verfahrenskosten sind keine zu erheben (Art. 1 Abs. 1 UVG i.V.m. Art. 61 lit. a ATSG). 4.2 Bei diesem Ausgang des Verfahrens hat die Beschwerdeführerin Anspruch auf Ersatz der Parteikosten. Diese werden vom Versicherungs- gericht festgesetzt und ohne Rücksicht auf den Streitwert nach der Bedeu- tung der Streitsache und nach der Schwierigkeit des Prozesses bemessen (Art. 1 Abs. 1 UVG i.V.m. Art. 61 lit. g ATSG). Rechtsanwalt B.________ macht in seiner Honorarnote vom 29. Mai 2019 ein Honorar von Fr. 3‘770.-- zuzüglich 3.5% Auslagenpauschale und 7.7% MWSt. und damit total Fr. 4‘202.40 geltend. Mit Blick auf andere, bezüglich des objektiv gebotenen Prozessaufwands, der Bedeutung der Streitsache und der Schwierigkeit des Prozesses vergleichbare Verfahren ist der gel- tend gemachte zeitliche Aufwand von 15.08 Stunden zu hoch. Angesichts des einfachen, auch aktenmässig wenig umfangreichen Sachverhalts und der geringen rechtlichen Komplexität ist von einem objektiv gebotenen Aufwand von maximal 10 Stunden auszugehen. Die Parteientschädigung ist somit auf Fr. 2‘786.75 (Honorar Fr. 2‘500.-- [10 h à Fr. 250.--] zuzüglich 3.5% Auslagenpauschale und 7.7% MWSt.) festzusetzen. Diesen Betrag hat die Beschwerdegegnerin der Beschwerdeführerin zu ersetzen. Demnach entscheidet das Verwaltungsgericht: 1. In Gutheissung der Beschwerde wird der angefochtene Einspra- cheentscheid vom 4. März 2019 aufgehoben und die Sache an die Be- schwerdegegnerin zurückgewiesen zum weiteren Vorgehen im Sinne der Erwägungen.</w:t>
      </w:r>
    </w:p>
    <w:p>
      <w:r>
        <w:t>Urteil des Verwaltungsgerichts des Kantons Bern vom 18. Okt. 2019, UV/19/252, Seite 14 2. Es werden keine Verfahrenskosten erhoben. 3. Die Beschwerdegegnerin hat der Beschwerdeführerin die Parteikosten, gerichtlich bestimmt auf Fr. 2‘786.75 (inkl. Auslagen und MWSt.), zu ersetzen. 4. Zu eröffnen (R): - Rechtsanwalt B.________ z.H. der Beschwerdeführerin - Rechtsanwalt D.________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18. Okt. 2019, UV/19/252,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