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679 vom 27. Mai 2019</w:t>
      </w:r>
    </w:p>
    <w:p>
      <w:r>
        <w:t>BE Verwaltungsgericht, 2019-05-27, DE</w:t>
      </w:r>
    </w:p>
    <w:p>
      <w:r>
        <w:rPr>
          <w:b/>
        </w:rPr>
        <w:t xml:space="preserve">Quelle: </w:t>
      </w:r>
      <w:r>
        <w:t>https://mcp.opencaselaw.ch/entscheid/be_verwaltungsgericht_200_2018_679</w:t>
      </w:r>
    </w:p>
    <w:p>
      <w:r>
        <w:t>FR: BE_VERWALTUNGSGERICHT 200 2018 679 du 27 mai 2019</w:t>
      </w:r>
    </w:p>
    <w:p>
      <w:r>
        <w:t>IT: BE_VERWALTUNGSGERICHT 200 2018 679 del 27 maggio 2019</w:t>
      </w:r>
    </w:p>
    <w:p>
      <w:pPr>
        <w:pStyle w:val="Heading2"/>
      </w:pPr>
      <w:r>
        <w:t>Regeste</w:t>
      </w:r>
    </w:p>
    <w:p>
      <w:r>
        <w:t>Verfügung vom 10. August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August 2018 (AB 132), mit welcher dem Beschwerdeführer ab dem 1. Mai 2017 eine hal- be Rente zugesprochen wird. Beanstandet wird zwar einzig der Rentenbe- ginn. In anfechtungs- und streitgegenständlicher Hinsicht liegt jedoch ein Rechtsverhältnis vor, wenn rückwirkend eine abgestufte und/oder befristete IV-Rente zugesprochen wird. Wird nur die Abstufung oder die Befristung der Leistungen angefochten, wird damit die richterliche Überprüfungsbefug- nis nicht in dem Sinne eingeschränkt, dass die unbestritten gebliebenen Rentenbezugszeiten von der richterlichen Prüfung ausgenommen blieben (BGE 125 V 413; AHI 2001 S. 278 E. 1a). Diese Grundsätze gelten auch dann, wenn eine rückwirkende Zusprechung einer abgestuften und/oder befristeten Invalidenrente in mehreren Verfügungen gleichen Datums eröff- net wird (BGE 131 V 164). Der Anspruch auf eine Invalidenrente ist insge-</w:t>
      </w:r>
    </w:p>
    <w:p>
      <w:r>
        <w:t>Urteil des Verwaltungsgerichts des Kantons Bern vom 27. Mai 2019, IV/18/679, Seite 5 samt – unter Einschluss der grundsätzlich unbestritten gebliebenen Zu- sprechung einer halben Rente ab 1. Mai 2017 –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jedoch frühestens im Monat, der auf die Vollendung</w:t>
      </w:r>
    </w:p>
    <w:p>
      <w:r>
        <w:t>Urteil des Verwaltungsgerichts des Kantons Bern vom 27. Mai 2019, IV/18/679, Seite 6 des 18. Altersjahres folgt (Abs. 1). Der Rentenanspruch entsteht nicht, so- lange die versicherte Person ein Taggeld nach Art. 22 IVG beanspruchen kann (Abs. 2). 3. 3.1 Das Bundesgericht hielt in seinem Urteil vom 2. Juni 2016, 9C_181/2016, E. 3.3.1 fest, das kantonale Gericht habe zu Recht die inter- disziplinäre Arbeitsfähigkeitsschätzung (resp. jene des Neurologen Dr. med. E.________, Facharzt für Neurologie) – welcher eine Einschränkung von 50% attestiert habe – nicht übernommen, zumal eine Arbeitsunfä- higkeit nicht mit einer blossen Verdachtsdiagnose begründet werden kön- ne. Weiter hielt das Bundesgericht fest, Dr. med. F.________, Fachärztin J.________, die als externe Gutachterin von der MEDAS beigezogen wor- den sei, habe das Hauptgutachten nicht unterzeichnet. In diesem sei fest- gehalten worden, dass der Beschwerdeführer nur in der internistischen Untersuchung vom MRSA-Befall berichtet habe. Es sei nicht ersichtlich, dass Dr. med. F.________ um die MRSA-Problematik gewusst und sie berücksichtigt habe. Diesbezüglich sei ihr Teilgutachten nicht überzeugend. Der MEDAS-Neurologe habe sich zwar grundsätzlich ihrer Arbeitsfähig- keitsschätzung angeschlossen, aber nur unter dem Vorbehalt, dass die von ihm vorgeschlagene Abklärung unauffällige Befunde ergäbe. Das MEDAS- Teilgutachten von Dr. med. F.________ genüge den Anforderungen an die Beweiskraft deshalb nicht in allen Punkten, weshalb die darauf beruhende vorinstanzliche Feststellung betreffend die Arbeitsfähigkeit nicht haltbar sei. Die Verwaltung werde im Zusammenhang mit der MRSA-Problematik wei- tere Sachverhaltsermittlungen zu treffen haben (BGer 9C_181/2016; E. 3.5). 3.2 3.2.1 Der Beschwerdeführer gab im April 2016 ein Privatgutachten in Auf- trag. In diesem Neurochirurgischen/Neurologischen Aktengutachten der Klinik D.________ vom 21. Juni 2016 (AB 96) führten die Ärzte die ana- mnestisch umfangreichen fachfremden Diagnosen auf und attestierten ihr Fachgebiet betreffend das Folgende:</w:t>
      </w:r>
    </w:p>
    <w:p>
      <w:r>
        <w:t>Urteil des Verwaltungsgerichts des Kantons Bern vom 27. Mai 2019, IV/18/679, Seite 7 Chronisches lumbovertebrales Schmerzsyndrom mit/bei - progredienten degenerativen Wirbelsäulenerkrankungen und aktivierter Osteochondrose LWK 4/5 - Status nach mediolateralem Diskusprolaps LWK 4/5 links und Status nach mikrochirurgischer Operation LWK 4/5 und Nervenwurzelkompression L5 links am 31. Oktober 2011 Die Ärzte führten aus, im März 2012 sei aufgrund einer positiven Umge- bungsanamnese ohne klinische Beschwerden bzw. Hinweise auf Weichteil- infekte ein Nasen-Rachenabstrich mit Nachweis einer multiresistenten Sta- phylococcus aureus Kolonisation erfolgt. Nach sechsmonatiger Dekolonisa- tion seien dreimalige negative Abstriche inguinal und im Nasen-Rachen- Raum für MRSA erfolgt (S. 8 f.). Die im neurologischen Teilgutachten von Dr. med. E.________ diskutierte mögliche chronische Osteitis auf Grund des positiven MRSA Nasen-Rachen-Abstrichs erscheine bei fehlenden bildgebenden und klinischen Hinweisen und der erfolgreichen Dekolonisa- tion aktuell als sehr unwahrscheinlich (S. 11). Der Beschwerdeführer leide seit März 2011 an relevanten Lumbalgien. Trotz multipler konservativer und invasiver Massnahmen habe bisher keine relevante Schmerzlinderung erreicht werden können. Die aktuellen bild- morphologischen Befunde (Mai 2016) mit aktivierter Osteochondrose LWK 4/5 (Modic I-II), Degeneration der Bandscheibe, Höhenminderung und Va- kuumphänomen, Spondylarthrosen, nachgewiesenen neuroforaminalen Stenosen sowie Diskusprotrusionen mit Tangierung von Nervenwurzeln seien als Auslöser der beklagten Rückenschmerzen zu werten. Diese Be- funde seien im Vergleich zu 2013 progredient (S. 11). Sie schätzten die Arbeitsunfähigkeit bedingt durch die aktivierte Osteo- chondrose und die begleitenden Wirbelsäulendegenerationen mit 50% ein. Im Rahmen seiner Anstellung verrichte der Beschwerdeführer eine über- wiegend sitzende Tätigkeit. Dabei sollte eine wechselbelastende (alternie- rend im Sitzen, Gehen und Stehen) Körperhaltung eingenommen werden. Das Tragen von Gewichten (mehr als 5 kg) sei wegen vorzeitiger Ermüd- barkeit und einsetzenden Schmerzen, die in der Folge meist auch länger anhielten, schwer möglich. Aufgrund der Schmerzen sei auch von einer</w:t>
      </w:r>
    </w:p>
    <w:p>
      <w:r>
        <w:t>Urteil des Verwaltungsgerichts des Kantons Bern vom 27. Mai 2019, IV/18/679, Seite 8 reduzierten Konzentrationsfähigkeit auszugehen. Der Beschwerdeführer sei nicht in der Lage rein sitzende, gehende oder stehende Tätigkeiten, gebückte oder vorgeneigte Haltungen im Stehen/Sitzen einzunehmen ebenso wie Rumpfrotationen zu vollrichten (S. 12). 3.2.2 Der Hausarzt, Dr. med. G.________, Facharzt für Allgemeine Inne- re Medizin, gab im Verlaufsbericht vom 19. Dezember 2016 (AB 108) an, der Gesundheitszustand habe sich verschlechtert. Das Rückenleiden habe Einfluss auf die Arbeitsfähigkeit. Er verweise auf das umfassende Gutach- ten des Spitals L.________ (S. 2). Aktuell und auch in Zukunft bestehe eine mindestens 50%ige Arbeitsunfähigkeit in leichten Tätigkeiten mit wech- selnden Körperpositionen (S. 3). 3.2.3 Der RAD-Arzt, Dr. med. H.________, Facharzt für Allgemeine Inne- re Medizin, diagnostizierte im Bericht vom 17. März 2017 (AB 110) ein chronisches lumbovertebrales Schmerzsyndrom mit progredienten degene- rativen Wirbelsäulenerkrankungen und einer aktivierten Osteochondrose LWK4/5 (S. 4). Die übrigen Diagnosen würden sich nicht zusätzlich un- günstig auf eine Tätigkeit im definierten Rendement auswirken. Das Vorlie- gen einer Osteitis sei sehr unwahrscheinlich. Auf die Beurteilung der ME- DAS vom 24. Januar 2014 könne nicht mehr abgestellt werden. In der Zwi- schenzeit hätten die degenerativen Veränderungen im Bereich der Len- denwirbelsäule deutlich zugenommen. Die objektive und wesentliche Ver- änderung des Gesundheitszustandes sei spätestens im Mai 2016 eingetre- ten, als erneut bildgebende Verfahren durchgeführt worden seien. Seit die- ser Zeit vermöge der Beschwerdeführer in einer angepassten Tätigkeit in einem Pensum von 60% eine Leistungsfähigkeit von 80% zu entwickeln. Die Reduktion des Pensums sei Folge der zunehmenden Ausbildung von Schmerzen und einer Abnahme der Konzentration im Verlaufe des Tages, die Verminderung der Leistungsfähigkeit Folge des erhöhten Pausenbe- darfs. Angepasst sei eine Tätigkeit, bei welcher der Beschwerdeführer weitgehend selbständig zwischen Sitzen, Stehen und Gehen abwechseln könne. Das Anheben von Lasten über 5 kg sei ungünstig. Eine Tätigkeit in der … könne als optimal angepasst aufgefasst werden (S. 3). 3.2.4 In der Stellungnahme der Klinik J.________, vom 21. Januar 2019 (BB 9) wird ausgeführt, eine Einschränkung der Arbeitsfähigkeit von 50%</w:t>
      </w:r>
    </w:p>
    <w:p>
      <w:r>
        <w:t>Urteil des Verwaltungsgerichts des Kantons Bern vom 27. Mai 2019, IV/18/679, Seite 9 sei in Zusammenschau der Anamnese und bildgebenden Befunden erklär- bar. Im Jahr 2013 sei ein Punkt erreicht worden – korrelierend mit den Schmerzen und Einschränkungen – von dem aus sich die über die Jahre zunehmende Osteochondritis entwickelt habe. Das deutliche Engagement des Beschwerdeführers bezüglich täglicher Mobilisierungsübungen, Mas- sagen, Kuren zur Schmerzbewältigung, schmerztherapeutischen Abklärun- gen und Umstellen von Schmerzmedikation hätten es ihm erlaubt, seine Arbeitsfähigkeit trotz dieser voranschreitenden Veränderungen der Wir- belsäule aufrecht zu erhalten. Die Anamnese, Befunde im MRI, die Abläufe nach der Operation sowie die Diagnostik und Behandlung würden bereits im Jahre 2013 eine eingeschränkte Arbeitsfähigkeit um 50% absolut nach- vollziehbar machen (S. 2).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27. Mai 2019, IV/18/679, Seite 10 3.4 3.4.1 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2018 UV Nr. 28 S. 98 E. 3.1). Bei der Befangen- heit handelt es sich allerdings um einen inneren Zustand, der nur schwer bewiesen werden kann. Es braucht daher für die Ablehnung nicht nachge- wiesen zu werden, dass die sachverständige Person tatsächlich befangen ist. Es genügt vielmehr, wenn Umstände vorliegen, die den Anschein der Befangenheit und die Gefahr der Voreingenommenheit zu begründen ver- mögen. Bei der Beurteilung des Anscheins der Befangenheit und der Ge- wichtung solcher Umstände kann jedoch nicht auf das subjektive Empfin- den einer Partei abgestellt werden. Das Misstrauen muss vielmehr in objek- tiver Weise als begründet erscheinen (BGE 134 I 20 E. 4.2 S. 21, 133 I 1 E.</w:t>
      </w:r>
    </w:p>
    <w:p>
      <w:r>
        <w:rPr>
          <w:b/>
        </w:rPr>
        <w:t>E. 6</w:t>
      </w:r>
    </w:p>
    <w:p>
      <w:r>
        <w:t>Oktober 2000 über den Allgemeinen Teil des Sozialversicherungsrechts (ATSG; SR 830.1) i.V.m. Art. 54 Abs. 1 lit. a des kantonalen Gesetzes vom</w:t>
      </w:r>
    </w:p>
    <w:p>
      <w:r>
        <w:rPr>
          <w:b/>
        </w:rPr>
        <w:t>E. 6.2</w:t>
      </w:r>
    </w:p>
    <w:p>
      <w:r>
        <w:t>S. 6). Im Hinblick auf die erhebliche Bedeutung, welche den Arztgut- achten im Sozialversicherungsrecht zukommt, ist an die Unparteilichkeit der Gutachterperson ein strenger Massstab anzusetzen (BGE 132 V 93 E. 7.1 S. 109 f.; vgl. auch BGE 137 V 210 E. 2.1.3 S. 231). 3.4.2 Die Beschwerdegegnerin stellte in der rentenzusprechenden Verfü- gung vom 10. August 2018 (AB 132) im Wesentlichen auf das vom Be- schwerdeführer bei der Klinik D.________, in Auftrag gegebene Neurochir- urgische/Neurologische Aktengutachten vom 21. Juni 2016 (AB 96) ab. Diesbezüglich ist jedoch zu beachten, dass der Beschwerdeführer seit dem 1. Juni 1982, d.h. im Zeitpunkt der Begutachtung seit rund 34 Jahren beim I.________ arbeitete und nach wie vor dort angestellt ist. Zuerst war er im I.________ als … (1982-1987) tätig, später als … (1987-1990), … (1990- 1998), stellvertretender … (1998-2001), … (2001-2003), … / … und … (2003-2009) sowie von 2009 bis zum 31. August 2014 als …. Seit dem 1. September 2015 arbeitet er in Folge der geltend gemachten und von den am gleichen Ort angestellten Ärzten diskutierten gesundheitlichen Beein- trächtigungen in einer hierarchisch tieferen Funktion als … (AB 13/3, 122). In der innegehabten Kaderfunktion als … war er u.a. verantwortlich für die … und … wie auch der Standardisierung der Auszahlung von Privathonora-</w:t>
      </w:r>
    </w:p>
    <w:p>
      <w:r>
        <w:t>Urteil des Verwaltungsgerichts des Kantons Bern vom 27. Mai 2019, IV/18/679, Seite 11 re und Privatgutachten, die Entwicklung von neuen Honorarmodellen sowie die Einführung eines internen Kontrollsystems (AB 13 S. 3). Es besteht damit ein enger Konnex zwischen der Tätigkeit des Beschwerdeführers und den beauftragten Gutachtern und deren Tätigkeit. Er gab beim Direktor und Chefarzt der Klinik J.________, dem Direktor und Chefarzt der Klinik für K.________, dem Leiter Wirbelsäulenchirurgie der Klinik J.________ sowie einer Assistenzärztin der Klinik für K.________ ein Gutachten in Auftrag. In seiner früheren Tätigkeit als … wie auch in seiner aktuellen Tätigkeit als … im Bereich … wurde er und kann er auch weiterhin in … wie … Hinsicht mit der Tätigkeit der eingesetzten Ärzte direkt befasst werden. Diese Umstän- de sind – entgegen der Ansicht des Beschwerdeführers (vgl. Stellungnah- me vom 22. März 2019) – geeignet, Misstrauen in deren Unparteilichkeit zu erwecken. Daran ändert nichts, dass das I.________ gemäss den Aus- führungen des Beschwerdeführers über rund 10‘000 Mitarbeitende verfüge. Entgegen seiner Annahme ist er mit Blick auf das vorstehend Dargelegte innerhalb dieser grossen Anzahl der Mitarbeitenden nicht ein den Ärzten grundsätzlich Unbekannter. Im Gegenteil sticht er als vormalig in höchster … Tätiger und speziell für die … Belange der Kaderärzte Zuständiger ge- rade aus der Menge der Mitarbeitenden heraus. Somit kann auf das Akten- gutachten vom 21. Juni 2016 (AB 96) vorliegend nicht unbesehen abge- stellt werden. Daran ändert auch die Stellungnahme der Klinik J.________, vom 21. Januar 2019 nichts (BB 9). 3.4.3 Selbst wenn die Aktenbeurteilung der Ärzte des Spitals L.________ in die Beurteilung mit einbezogen werden könnte und diese auch unter Berücksichtigung der Berichte des Hausarztes Dr. med. G.________ vom 19. Dezember 2016 (AB 108) sowie des RAD-Arztes Dr. med. H.________ vom 17. März 2017 (AB 110) gerichtlich geprüft würde, würde sich am Er- gebnis nichts ändern. Vorab ist darauf hinzuweisen, dass die Ärzte des L.________ weder den Beschwerdeführer selbst untersucht haben, was mit Blick auf ihre prospektive Einschätzung unabdingbar gewesen wäre, noch sich (mangels Beizug entsprechender Ärzte) hinreichend interdisziplinär mit den umfangreichen weiteren fachfremden Diagnosen auseinandersetzen konnten. Hinzu kommt für die retrospektive Beurteilung, dass das Bundes- gericht in Bestätigung des hiesigen Gerichts verbindlich festgehalten hat, dass eine neurologische Diagnose zur Begründung einer Einschränkung</w:t>
      </w:r>
    </w:p>
    <w:p>
      <w:r>
        <w:t>Urteil des Verwaltungsgerichts des Kantons Bern vom 27. Mai 2019, IV/18/679, Seite 12 von 50% nicht vorliege. Das hiesige Gericht habe jedoch nicht beachtet, dass die MRSA-Problematik ungenügend abgeklärt worden sei. Auf dieser Basis hat das Bundesgericht die Sache zu weiteren Abklärungen an die Beschwerdegegnerin zurückgewiesen. Insgesamt mangelt es im vorliegen- den Fall wie dargelegt nach wie vor sowohl retrospektiv wie nun insbeson- dere auch prospektiv an einer hinreichenden, auf eigenen Befunderhebun- gen basierenden, alle Gesundheitsschäden berücksichtigenden interdiszi- plinären Beurteilung. 3.5 Die Beschwerdegegnerin ist den Vorgaben des Bundesgerichts nicht nachgekommen und die Sache ist zur interdisziplinären Abklärung und neuerlichen Beurteilung an diese zurückzuweisen. Sie wird zunächst die vollständigen Akten der behandelnden Ärzte inkl. Krankengeschichte einzuholen und alsdann eine neue MEDAS-Begutachtung bei einer ME- DAS ausserhalb des Raums … in Auftrag zu geben haben. Die MEDAS wird den gesamten Verlauf der Erkrankung zu beurteilen und für alle Zeit- abschnitte integrale Arbeits- und Leistungsfähigkeitsbeurteilungen vorzu- nehmen haben. Dabei ist auch zu klären, ob und gegebenenfalls in wel- chem Umfang dem Beschwerdeführer eine Kaderstelle nicht mehr zumut- bar ist. Allein der Umstand, dass ein Arbeitgeber eine Person (allenfalls aus betrieblichen Gründen) teilzeitlich nicht (mehr) in einer Kaderposition be- schäftigen will, wäre invalidenversicherungsrechtlich unbeachtlich. Schliesslich wird die Beschwerdegegnerin auch den Validenlohn näher abzuklären haben. Die von ihr in der hier angefochtenen Verfügung dies- bezüglich getroffene Annahme zur Lohnentwicklung sind seitens der Ar- beitgeberin unbegründet geblieben und können mit den derzeitigen Akten nicht nachvollzogen werden (AB 2, 101, 122). 3.6 Aufgrund des Dargelegten ist in teilweiser Gutheissung der Be- schwerde die angefochtene Verfügung vom 10. August 2018 (AB 132) auf- zuheben und die Sache an die Beschwerdegegnerin zurückzuweisen, da- mit sie nach Vornahme der weiteren Abklärungen im Sinne der Erwägun- gen neu verfüge. Im Übrigen ist die Beschwerde abzuweisen. 4.</w:t>
      </w:r>
    </w:p>
    <w:p>
      <w:r>
        <w:t>Urteil des Verwaltungsgerichts des Kantons Bern vom 27. Mai 2019, IV/18/679, Seite 13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Entsprechend der angemessenen Kostennote von Rechtsanwalt B.________ vom 17. April 2019 wird die Parteientschädigung auf Fr. 5‘554.45 festgesetzt (Aufwand von 20 Stunden à Fr. 250.-- zuzüglich Aus- lagen von Fr. 175.-- sowie Mehrwertsteuer von Fr. 397.45). Diesen Betrag hat die Beschwerdegegnerin dem Beschwerdeführer zu ersetzen.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