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646 vom 12. Dezember 2018</w:t>
      </w:r>
    </w:p>
    <w:p>
      <w:r>
        <w:t>BE Verwaltungsgericht, 2018-12-12, DE</w:t>
      </w:r>
    </w:p>
    <w:p>
      <w:r>
        <w:rPr>
          <w:b/>
        </w:rPr>
        <w:t xml:space="preserve">Quelle: </w:t>
      </w:r>
      <w:r>
        <w:t>https://mcp.opencaselaw.ch/entscheid/be_verwaltungsgericht_200_2018_646</w:t>
      </w:r>
    </w:p>
    <w:p>
      <w:r>
        <w:t>FR: BE_VERWALTUNGSGERICHT 200 2018 646 du 12 décembre 2018</w:t>
      </w:r>
    </w:p>
    <w:p>
      <w:r>
        <w:t>IT: BE_VERWALTUNGSGERICHT 200 2018 646 del 12 dicembre 2018</w:t>
      </w:r>
    </w:p>
    <w:p>
      <w:pPr>
        <w:pStyle w:val="Heading2"/>
      </w:pPr>
      <w:r>
        <w:t>Regeste</w:t>
      </w:r>
    </w:p>
    <w:p>
      <w:r>
        <w:t>Einspracheentscheid vom 12. Juli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12. Juli 2018 (act. II 49 - 53). Streitig und zu prüfen ist der Erlass der Rückerstattung zu Unrecht bezogener SWE im Umfang von Fr. 122‘915.65. Die Rückerstattung als solche sowie über deren Höhe ist bereits rechtskräf- tig entschieden worden (vgl. Urteil des Bundesverwaltungsgerichts vom 30. November 2017, B-1832/2016; act. IIE 83 - 96), weshalb Bestand und Höhe der Rückerstattung nicht Gegenstand des vorliegenden Verfahrens bilden.</w:t>
      </w:r>
    </w:p>
    <w:p>
      <w:r>
        <w:rPr>
          <w:b/>
        </w:rPr>
        <w:t>E. 1.3</w:t>
      </w:r>
    </w:p>
    <w:p>
      <w:r>
        <w:t>Die Abteilungen urteilen gewöhnlich in einer Kammer bestehend aus drei Richterinnen oder Richtern (Art. 56 Abs. 1 GSOG). Sie beurteilen</w:t>
      </w:r>
    </w:p>
    <w:p>
      <w:r>
        <w:t>Urteil des Verwaltungsgerichts des Kantons Bern vom 12. Dez. 2018, ALV/18/646, Seite 4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Unrechtmässig bezogene Leistungen sind zurückzuerstatten. Wer Leistungen in gutem Glauben empfangen hat, muss sie nicht zurückerstat- ten, wenn eine grosse Härte vorliegt (Art. 25 Abs. 1 ATSG). 2.2 Wer einen Rechtsmangel kennt, gilt diesbezüglich nicht als gutgläu- big. Sodann darf sich derjenige nicht auf seinen guten Glauben berufen, dem der Mangel bei Anwendung zumutbarer Aufmerksamkeit erkennbar gewesen wäre. Dabei ist diejenige Aufmerksamkeit geboten, die nach den Umständen verlangt werden kann. Diese zivilrechtlichen Grundsätze gelten gleichermassen für den Bereich des Sozialversicherungsrechts (BGE 120 V 319 E. 10a S. 335). Nach ständiger Rechtsprechung ist der gute Glaube als Erlassvorausset- zung nicht schon mit der Unkenntnis des Rechtsmangels gegeben. Viel- mehr darf sich die Leistungsempfängerin oder der Leistungsempfänger nicht nur keiner böswilligen Absicht, sondern auch keiner groben Nachläs- sigkeit schuldig gemacht haben. Daraus erhellt einerseits, dass der gute Glaube von vornherein entfällt, wenn die zu Unrecht erfolgte Leistungsaus- richtung auf eine arglistige oder grobfahrlässige Melde- oder Auskunfts- pflichtverletzung zurückzuführen ist. Andererseits kann sich die rückerstat- tungspflichtige Person auf den guten Glauben berufen, wenn ihr fehlerhaf- tes Verhalten nur eine leichte Fahrlässigkeit darstellt. Wie in anderen Be- reichen beurteilt sich das Mass der erforderlichen Sorgfalt nach einem ob- jektiven Massstab, wobei aber das den Betroffenen subjektiv Mögliche und Zumutbare (Urteilsfähigkeit, Gesundheitszustand, Bildungsgrad usw.) nicht ausgeblendet werden darf (BGE 138 V 218 E. 4 S. 220).</w:t>
      </w:r>
    </w:p>
    <w:p>
      <w:r>
        <w:t>Urteil des Verwaltungsgerichts des Kantons Bern vom 12. Dez. 2018, ALV/18/646, Seite 5 Das Verhalten, welches den guten Glauben ausschliesst, braucht nicht in einer Verletzung der Melde- oder Auskunftspflicht zu bestehen. Dies ist nur eine zwar häufige, aber nicht die einzige Form eines schuldhaften Verhal- tens. Vielmehr fällt auch ein anderes Verhalten in Betracht, z.B. die Unter- lassung, sich bei der Verwaltung zu erkundigen (ARV 2002 S. 195 E. 2a). 2.3 Eine grosse Härte im Sinne von Art. 25 Abs. 1 ATSG liegt vor, wenn die vom ELG anerkannten Ausgaben und die zusätzlichen Ausgaben nach Abs. 4 die nach ELG anrechenbaren Einnahmen übersteigen (Art. 5 Abs. 1 der Verordnung vom 11. September 2002 über den Allgemeinen Teil des Sozialversicherungsrechts [ATSV; SR 830.11]). Massgebend für die Beur- teilung, ob eine grosse Härte vorliegt, ist der Zeitpunkt, in welchem über die Rückforderung rechtskräftig entschieden ist (Art. 4 Abs. 2 ATSV). 2.4 Guter Glaube und grosse Härte sind kumulativ geforderte Voraus- setzungen für den Erlass einer Rückzahlung unrechtmässig bezogener Leistungen (BGE 126 V 48 E. 3c S. 53, Entscheid des Bundesgerichts [BGer] vom 13. Juli 2015, 8C_129/2015, E. 4). 2.5 Die Erlassmöglichkeit steht auch juristischen Personen offen (BGE 122 V 270 E. 4 S. 274; ARV 2006 S. 314 E. 3). 3. 3.1 Der Beschwerdegegner hat das Erlassgesuch aufgrund des fehlen- den guten Glaubens abgewiesen und liess ungeprüft, ob die Rückerstat- tung der SWE für die Beschwerdeführerin auch eine grosse Härte bedeu- ten würde. Ausgehend vom Anfechtungsobjekt ist demgemäss nachfolgend einzig zu prüfen, ob die Beschwerdeführerin die SWE für die Monate De- zember 2012 und Februar 2013 entgegen dem angefochtenen Entscheid in gutem Glauben empfangen hat (vgl. E. 2.2 hiervor). Aufgrund der Akten bzw. des rechtskräftigen Urteils des Bundesverwal- tungsgerichts vom 30. November 2017 (B-1832/2016) ist erstellt, dass die von der Beschwerdeführerin zur Verfügung gestellten Unterlagen zur Ar- beitszeiterfassung den rechtlichen Anforderungen an eine betriebliche Ar-</w:t>
      </w:r>
    </w:p>
    <w:p>
      <w:r>
        <w:t>Urteil des Verwaltungsgerichts des Kantons Bern vom 12. Dez. 2018, ALV/18/646, Seite 6 beitszeitkontrolle, namentlich hinsichtlich der täglich geleisteten Arbeitszeit, nicht zu genügen vermögen und gestützt darauf, die bereits gewährten SWE zu Recht zurückgefordert werden (E. 3.3 und 4.3; act. IIE 83 - 96). Es stellt sich somit die Frage, ob die Beschwerdeführerin bei genügender Aufmerksamkeit hätte erkennen müssen, dass ihre Arbeitszeiterfassungen für die Monate Dezember 2012 und Februar 2013 ungenügend sind. 3.2 Die Beschwerdeführerin bringt im Wesentlichen vor, es sei (höchs- tens) von einer leichten Fahrlässigkeit auszugehen. Das Arbeitszeiterfas- sungssystem sei insgesamt genügend gewesen für eine zuverlässige Er- fassung der Arbeits- und Ausfallzeiten der Arbeitnehmer, was ihre Treuhänderin ausdrücklich bestätigt habe. Die Beschwerdeführerin, deren Organpersonen keine Juristen seien, hätten unter diesen Umständen kei- nen Anlass gehabt, am formellen Genügen ihres Arbeitszeiterfassungssys- tems zu zweifeln, zumal auch seitens des Beschwerdegegners (Arbeitslo- senversicherungskasse und Kantonale Amtsstelle) während Jahren nie irgendwelche Beanstandungen erfolgt seien. Zudem sei weder im Gesetz (AVIG) noch in der dazugehörigen Verordnung (AVIV) noch in den ein- schlägigen Informationen der Bundesbehörden zu Handen der Arbeitgeber (Kreisschreiben des SECO und Infoservice WBF) eine klare und eindeutige Definition und Umschreibung der formellen Anforderungen an das Zeiter- fassungssystem enthalten. Schliesslich habe der Beschwerdegegner seine Pflicht zur Abklärung der Eintretensvoraussetzung einer formell genügen- den Arbeitszeiterfassung nicht erfüllt (Beschwerde, S. 5 ff.). 3.3 Den Akten kann entnommen werden, dass sich die Beschwerdefüh- rerin jeweils mit dem Formular „Meldung über wetterbedingten Arbeitsaus- fall“ für die SWE in den hier massgebenden Monate Dezember 2012 und Februar 2013 angemeldet hat (Akten des beco, Dossier RAV-Region Bern- Mittelland [act. IIB] 2 f.; 5 f.; 8 f.; 20 f.; 66 f.; 103 f.; 113 f.; 125 f.; 140 f.; 148 f.). In den entsprechenden Formularen wird unter dem Titel „Wichtige Hin- weise“ unter anderem auf das Merkblatt für die Arbeitgeber über die Schlechtwetterentschädigung verwiesen. In diesem Merkblatt bzw. der Broschüre Info-Service Arbeitgeber, Information für Arbeitgeber und Arbeit- geberinnen, Schlechtwetterentschädigung, steht in Ziffer 7 (Wer hat keinen Anspruch auf Schlechtwetterentschädigung ?) als erster Punkt „Arbeitneh-</w:t>
      </w:r>
    </w:p>
    <w:p>
      <w:r>
        <w:t>Urteil des Verwaltungsgerichts des Kantons Bern vom 12. Dez. 2018, ALV/18/646, Seite 7 mende, deren Arbeitsausfall nicht bestimmbar oder deren Arbeitszeit nicht ausreichend kontrollierbar ist. Die Erfüllung dieser gesetzlichen Bestim- mung setzt eine betriebliche Arbeitszeitkontrolle voraus (vgl. auch Ziff. 8)“. In Ziffer 8 (Welche Anforderungen muss die betriebliche Arbeitszeitkontrolle erfüllen ?) steht sodann: „Für von wetterbedingten Ausfallstunden betroffe- ne Arbeitnehmende muss eine betriebliche Arbeitszeitkontrolle (z.B. Stem- pelkarten, Stundenrapporte) geführt werden, welche täglich über die geleis- teten Arbeitsstunden inkl. allfälliger Mehrstunden, die wetterbedingten Aus- fallstunden sowie über sämtliche übrige Absenzen wie z.B. Ferien-, Krank- heits-, Unfall- oder Militärdienstabwesenheiten Auskunft gibt“. Die Beschwerdeführerin bzw. der Verwaltungsratspräsident C.________ (mit Einzelunterschrift; vgl. www.zefix.ch) hat die Meldeformulare vom 28. Dezember 2012 und 1. März 2013 jeweils unterzeichnet und damit bestätigt, von deren Inhalt Kenntnis genommen zu haben. Damit hätten die Organe der Beschwerdeführerin – auch als juristische Laien – bei genü- gender Aufmerksamkeit vom Hinweis auf die Broschüre Info-Service Ar- beitgeber, Information für Arbeitgeber und Arbeitgeberinnen, Schlechtwet- terentschädigung, bzw. der Erforderlichkeit einer betrieblichen Arbeitszeit- kontrolle, welche täglich über die geleisteten Arbeitsstunden inklusive allfäl- liger Mehrstunden etc. Auskunft gibt, Kenntnis haben müssen. So wurde denn auch in den Verfügungen des Beschwerdegegners vom 11. Februar und 14. März 2013, mit welchen die hier fraglichen SWE jeweils bewilligt wurden, unter dem Titel „Wichtige Hinweise betreffend Schlechtwetterent- schädigung“ nochmals darauf aufmerksam gemacht, dass für die von wet- terbedingten Ausfallstunden betroffenen Arbeitnehmenden eine betriebliche Arbeitszeitkontrolle geführt werden muss, welche täglich über die geleiste- ten Arbeitsstunden inklusive allfälliger Mehrstunden, die wirtschaftlich be- dingten Ausfallstunden sowie über sämtliche Absenzen Auskunft gibt. Fer- ner wurde auf weitere Informationen und notwendige Formulare im Internet hingewiesen (act. IIB 68 - 70; 127 - 129). Zwar erscheint es nach bundes- gerichtlicher Rechtsprechung wünschbar, dass die Informationsblätter und die Formulare bezüglich der Anforderungen an die betriebliche Arbeitszeitkontrolle noch deutlicher abgefasst würden, als dies der Fall ist. Daraus kann die Beschwerdeführerin jedoch nichts zu ihren Gunsten ablei- ten, wurde doch vom Bundesgericht weiter festgehalten, dass die Verwal-</w:t>
      </w:r>
    </w:p>
    <w:p>
      <w:r>
        <w:t>Urteil des Verwaltungsgerichts des Kantons Bern vom 12. Dez. 2018, ALV/18/646, Seite 8 tung ihrer Informationspflicht gemäss Art. 27 Abs. 1 ATSG durch die Abgabe der aktuell gebräuchlichen Informationsbroschüre und den entsprechenden Hinweis im Formular in ausreichendem Masse nachkommt (vgl. Entscheid des BGer vom 19. März 2008, 8C_775/2007, E. 2.2). Die Notwendigkeit einer betrieblichen Arbeitszeitkontrolle (mit Angaben betref- fend die geleistete [tägliche und wöchentliche] Arbeitszeit) sowie die Pflicht zur Aufbewahrung der entsprechenden Unterlagen während mindestens fünf Jahren besteht für die im …gewerbe tätige Beschwerdeführerin – un- geachtet der Beanspruchung von SWE – zudem von Gesetzes wegen (Art. 46 des Bundesgesetzes vom 13. März 1964 über die Arbeit in Industrie, Gewerbe und Handel [Arbeitsgesetz, ArG; SR 822.11] i.V.m. Art. 73 Abs. 1 [Bst. c] der Verordnung 1 vom 10. Mai 2000 zum Arbeitsgesetz [ArGV 1; SR 822.111]; vgl. auch ROLAND MÜLLER UND THOMAS OECHSLE, Die Pflicht zur Arbeitszeiterfassung, in: AJP 7/2007 S. 847 ff. sowie LUCA CIRIGLIANO, Die Auswirkungen fehlender Arbeitszeiterfassung auf die Kurzarbeitszeit nach Art. 31 ff. AVIG, in: Jusletter vom 15. Juli 2013, Rz. 5). Aus dem Um- stand, dass in den Ausführungsbestimmungen zur SWE (Art. 65 ff. AVIV) nicht explizit auf Art. 46b Abs. 1 AVIV bzw. auf die entsprechenden Artikel des Arbeitsgesetzes und dessen Ausführungsverordnung verwiesen wird, kann die Beschwerdeführerin nichts zu ihren Gunsten ableiten, zumal sich die Erforderlichkeit einer betrieblichen Arbeitszeitkontrolle – wie bereits erwähnt – aus der Informationsbroschüre SWE ergibt. Darüber hinaus ist festzuhalten, dass sich die Beschwerdeführerin – gerade weil sie zur Erhal- tung der Arbeitsplätze auf die finanzielle Unterstützung in Form von SWE angewiesen war – hätte veranlasst sehen müssen, den Anforderungen an den Erhalt von SWE in jeder Hinsicht hohe Beachtung zu schenken und sich bei allfälligen Unklarheiten umgehend an die zuständigen Ämter zu wenden. Dies hat sie unterlassen (vgl. BGer 8C_775/2007, E. 2.1). Soweit sich die Beschwerdeführerin schliesslich auf den Vertrauensschutz beruft, weil der Beschwerdegegner auf die Gesuche für SWE eingetreten sei und sie daher davon ausgehen konnte, dass das betriebliche Arbeitszeitsystem genügend sei, vermag dies nicht zu überzeugen. Die Prüfung der ausbe- zahlten SWE fällt in die Zuständigkeit des SECO (Art. 110 AVIV) und nicht der Arbeitslosenkasse und der Kantonalen Amtsstelle. Somit bedeutet die Leistungszusprechung durch die Arbeitslosenkasse noch keine Anerken- nung der Rechtsgültigkeit der SWE und begründet damit keinen Vertrau-</w:t>
      </w:r>
    </w:p>
    <w:p>
      <w:r>
        <w:t>Urteil des Verwaltungsgerichts des Kantons Bern vom 12. Dez. 2018, ALV/18/646, Seite 9 ensschutz (vgl. auch Urteil des Bundesverwaltungsgerichts vom 30. No- vember 2017, B-1832/2016, E. 4.3.2; act. IIE 83 - 96). Somit ist der Be- schwerdeführerin entgegen ihrer Auffassung nicht bloss eine leichte, son- dern eine grobe Fahrlässigkeit vorzuwerfen. 3.4 Nach dem Dargelegten hat der Beschwerdegegner zu Recht die Voraussetzung des guten Glaubens für den Erlass der Rückerstattung ver- neint und auf die Prüfung der weiteren Voraussetzung der grossen Härte verzichtet (vgl. E. 2.4 hiervor). Die Beschwerde erweist sich im Lichte der Ausführungen hiervor als offensichtlich unbegründet, weshalb sie abzuwei- sen ist. 4. 4.1 Es sind keine Verfahrenskosten zu erheben (Art. 1 Abs. 1 AVIG i.V.m. Art. 61 lit. a ATSG). 4.2 Bei diesem Verfahrensausgang hat die Beschwerdeführerin keinen Anspruch auf eine Parteientschädigung (Umkehrschluss aus Art. 1 Abs. 1 AVIG i.V.m. Art. 61 lit. g ATSG); der Beschwerdegegnerin steht praxis- gemäss ebenfalls keine Parteientschädigung zu (Art. 104 Abs. 3 i.V.m. Art. 2 Abs. 1 lit. a VRPG).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