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593 vom 11. Februar 2019</w:t>
      </w:r>
    </w:p>
    <w:p>
      <w:r>
        <w:t>BE Verwaltungsgericht, 2019-02-11, DE</w:t>
      </w:r>
    </w:p>
    <w:p>
      <w:r>
        <w:rPr>
          <w:b/>
        </w:rPr>
        <w:t xml:space="preserve">Quelle: </w:t>
      </w:r>
      <w:r>
        <w:t>https://mcp.opencaselaw.ch/entscheid/be_verwaltungsgericht_200_2018_593</w:t>
      </w:r>
    </w:p>
    <w:p>
      <w:r>
        <w:t>FR: BE_VERWALTUNGSGERICHT 200 2018 593 du 11 février 2019</w:t>
      </w:r>
    </w:p>
    <w:p>
      <w:r>
        <w:t>IT: BE_VERWALTUNGSGERICHT 200 2018 593 del 11 febbraio 2019</w:t>
      </w:r>
    </w:p>
    <w:p>
      <w:pPr>
        <w:pStyle w:val="Heading2"/>
      </w:pPr>
      <w:r>
        <w:t>Regeste</w:t>
      </w:r>
    </w:p>
    <w:p>
      <w:r>
        <w:t>Verfügung vom 20.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Juli 2018 (act. II 147 S. 2 ff.). Streitig und zu prüfen ist der Anspruch auf eine Invalidenrente</w:t>
      </w:r>
    </w:p>
    <w:p>
      <w:r>
        <w:t>Urteil des Verwaltungsgerichts des Kantons Bern vom 11. Feb. 2019, IV/18/593, Seite 5 und dabei insbesondere jener auf eine Dreiviertelsrente. Soweit die Be- schwerdeführerin die Zusprache von darüber hinausgehenden „gesetzli- chen Leistungen“ beantragt (vgl. Ziffer 2 der Rechtsbegehren), ist auf die Beschwerde nicht einzutreten, fehlt es doch insoweit an einem Anfech- tungsobjekt.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sind (lit. c). Gemäss Art. 28 Abs. 2 IVG besteht der Anspruch auf eine ganze Rente, wenn die versicherte Person mindestens 70%, derjenige auf eine Dreiviertelsrente, wenn sie</w:t>
      </w:r>
    </w:p>
    <w:p>
      <w:r>
        <w:t>Urteil des Verwaltungsgerichts des Kantons Bern vom 11. Feb. 2019, IV/18/593, Seite 6 mindestens 60% invalid ist. Bei einem Invaliditätsgrad von mindestens 50% besteht Anspruch auf eine halbe Rente und bei einem Invaliditätsgrad von mindestens 40%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Die medizinische Aktenlage präsentiert sich im Wesentlichen wie folgt: 3.1.1 Im Bericht vom 17. Mai 2015 (act. II 14 S. 2 - 7) hielt der Hausarzt der Beschwerdeführerin (vgl. act. II 4 S. 6), Dr. med. E.________, Facharzt für Allgemeine Innere Medizin, als Diagnose mit Auswirkung auf die Ar- beitsfähigkeit eine seit 2001 bestehende MS fest (act. II 14 S. 2). Die Be- handlung bei ihm erfolge seit November 2013. Hauptbefund sei ein unsicherer Gang, seit er die Beschwerdeführerin betreue; zudem falle bei der Sprache eine Dysarthrie auf (S. 3). Er habe der Beschwerdeführerin lediglich vom 29. April bis 5. Mai 2015 eine 100%ige Arbeitsunfähigkeit attestiert. Allerdings habe bereits bei Übernahme der Behandlung durch ihn eine allein 50%ige Arbeitsfähigkeit bestanden. Aktuell bestehe eine 50%ige Leistungsfähigkeit „in 100% Zeit“ – dies aufgrund der krankheitsbedingten Ausfälle (S. 4). 3.1.2 Dr. med. F.________, Fachärztin für Neurologie, hielt im Bericht vom 13. Juli 2015 (act. II 24 S. 2 - 6) fest, an aktuellen Symptomen bestehe eine Gehbehinderung bei rascher motorischer Erschöpfbarkeit, subjektiv spastischer Beinschwäche rechts und Gleichgewichtsstörungen, Feinmoto-</w:t>
      </w:r>
    </w:p>
    <w:p>
      <w:r>
        <w:t>Urteil des Verwaltungsgerichts des Kantons Bern vom 11. Feb. 2019, IV/18/593, Seite 7 rikstörungen sowie eine Schwäche der rechten Hand. Auch kognitiv beste- he eine etwas raschere Erschöpfbarkeit, die Beschwerdeführerin brauche mehr Zeit für ihre Arbeit; subjektiv aber nur, wenn vorher ein kraftraubender Arbeitsweg stattgefunden habe. Die etwas verwaschene Sprache gehöre zu ihr und sei nicht MS-bedingt (S. 3). Mit weiterem Bericht vom 7. Mai 2016 (act. II 41 S. 2 ff.) hielt Dr. med. F.________ fest, der Gesundheitszustand habe sich leicht verschlechtert. Die Beschwerdeführerin sei allgemein langsamer geworden; die Sprache sei etwas verwaschen (keine sichere Verschlechterung in den letzten Jah- ren, „nicht sicher MS-bedingt“) und die physikalischen Therapiemassnah- men hätten ausgebaut werden müssen (S. 3). Die bisherige Erwerbstätigkeit sei wegen der häufigen Kundenbesuche (Wege anstren- gend, danach auch verminderte kognitive Leistungsfähigkeit) ungünstig und in einem Pensum von 60% wahrscheinlich nicht möglich. Körperlich an- strengende Tätigkeiten und auch lange Arbeitswege seien generell ungüns- tig. Für sitzende Tätigkeiten wäre unter Mitberücksichtigung der eingeschränkten Feinmotorik, des verlangsamten Arbeitstempos und der verstärkten kognitiven Erschöpfbarkeit ein Arbeitspensum von ca. 60% in einer angepassten Tätigkeit angemessen (S. 3). 3.1.3 Im polydisziplinären Gutachten der MEDAS vom 5. April 2018 (act. II 141.1 ff.) wurden interdisziplinär im Wesentlichen die folgenden Diagno- sen gestellt (act. II 141.1 S. 8): Mit Auswirkung auf die Arbeitsfähigkeit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