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474 vom 28. Mai 2018</w:t>
      </w:r>
    </w:p>
    <w:p>
      <w:r>
        <w:t>BE Verwaltungsgericht, 2018-05-28, DE</w:t>
      </w:r>
    </w:p>
    <w:p>
      <w:r>
        <w:rPr>
          <w:b/>
        </w:rPr>
        <w:t xml:space="preserve">Quelle: </w:t>
      </w:r>
      <w:r>
        <w:t>https://mcp.opencaselaw.ch/entscheid/be_verwaltungsgericht_200_2018_474</w:t>
      </w:r>
    </w:p>
    <w:p>
      <w:r>
        <w:t>FR: BE_VERWALTUNGSGERICHT 200 2018 474 du 28 mai 2018</w:t>
      </w:r>
    </w:p>
    <w:p>
      <w:r>
        <w:t>IT: BE_VERWALTUNGSGERICHT 200 2018 474 del 28 maggio 2018</w:t>
      </w:r>
    </w:p>
    <w:p>
      <w:pPr>
        <w:pStyle w:val="Heading2"/>
      </w:pPr>
      <w:r>
        <w:t>Regeste</w:t>
      </w:r>
    </w:p>
    <w:p>
      <w:r>
        <w:t>Verfügung vom 28. Mai 2018</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w:t>
      </w:r>
    </w:p>
    <w:p>
      <w:r>
        <w:t>Urteil des Verwaltungsgerichts des Kantons Bern vom 12. Sept. 2018, IV/18/474, Seite 4 Bei der Anordnung des Gutachtens handelt es sich – da sie das Administrativverfahren nicht abschliesst – um eine Zwischenverfügung (Art. 55 Abs. 1 ATSG i.V.m. Art. 5 Abs. 2 und Art. 46 des Bundesgesetzes vom 20. Dezember 1968 über das Verwaltungsverfahren [VwVG; SR 172.021]). Solche können unter anderem dann angefochten werden, wenn sie einen nicht wieder gutzumachenden Nachteil bewirken können (BGE 132 V 93 E. 6.1 S. 106). Diese Anfechtbarkeitsvoraussetzung ist für das erstinstanzliche Beschwerdeverfahren in IV-Angelegenheiten zu beja- hen, womit die entsprechende Verfügung unter Erhebung aller gesetzlich vorgesehenen Rügen rechtlicher und tatsächlicher Natur angefochten wer- den kann (BGE 138 V 271 S. 275 E. 1.1 und 1.2.1 sowie S. 276 E. 1.2.3, 137 V 210 E. 3.4.2.7 S. 256).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1.2</w:t>
      </w:r>
    </w:p>
    <w:p>
      <w:r>
        <w:t>Anfechtungsobjekt bildet die Zwischenverfügung vom 28. Mai 2018 (AB 136). Streitig und zu prüfen ist die Anordnung einer polydisziplinären Begutachtung und hierbei einzig, ob der Experte lic. phil. F.________ als befangen zu qualifizieren ist.</w:t>
      </w:r>
    </w:p>
    <w:p>
      <w:r>
        <w:rPr>
          <w:b/>
        </w:rPr>
        <w:t>E. 1.3</w:t>
      </w:r>
    </w:p>
    <w:p>
      <w:r>
        <w:t>Die Mitglieder des Verwaltungsgerichts behandeln als Einzelrichte- rin oder Einzelrichter Beschwerden gegen Zwischenverfügungen und Zwi- schenentscheide (Art. 57 Abs. 2 lit. b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12. Sept. 2018, IV/18/474, Seite 5</w:t>
      </w:r>
    </w:p>
    <w:p>
      <w:r>
        <w:rPr>
          <w:b/>
        </w:rPr>
        <w:t>E. 2.1</w:t>
      </w:r>
    </w:p>
    <w:p>
      <w:r>
        <w:t>Der Versicherungsträger prüft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 träge der Parteien, abklären und feststellen muss. Rechtserheblich sind alle Tatsachen, von deren Vorliegen es abhängt, ob über den streitigen An- spruch so oder anders zu entscheiden ist. In diesem Rahmen haben Ver- waltungsbehörden zusätzliche Abklärungen stets vorzunehmen oder zu veranlassen, wenn hierzu aufgrund der Parteivorbringen oder anderer sich aus den Akten ergebenden Anhaltspunkte hinreichender Anlass besteht (BGE 117 V 282 E. 4a S. 283).</w:t>
      </w:r>
    </w:p>
    <w:p>
      <w:r>
        <w:rPr>
          <w:b/>
        </w:rPr>
        <w:t>E. 2.2</w:t>
      </w:r>
    </w:p>
    <w:p>
      <w:r>
        <w:t>Um den Leistungsanspruch prüfen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2.3</w:t>
      </w:r>
    </w:p>
    <w:p>
      <w:r>
        <w:t>Muss der Versicherungsträger zur Abklärung des Sachverhaltes ein Gutachten einer oder eines unabhängigen Sachverständigen einholen, so gibt er der Partei deren oder dessen Namen bekannt. Diese kann den Gut- achter aus triftigen Gründen ablehnen und kann Gegenvorschläge machen (Art. 44 ATSG).</w:t>
      </w:r>
    </w:p>
    <w:p>
      <w:r>
        <w:rPr>
          <w:b/>
        </w:rPr>
        <w:t>E. 2.3.1</w:t>
      </w:r>
    </w:p>
    <w:p>
      <w:r>
        <w:t>Die IV-Stelle teilt der versicherten Person in einem ersten Schritt mit, dass eine Expertise eingeholt werden soll; zugleich gibt sie ihr die Art der vorgesehenen Begutachtung (poly- oder mono- bzw. bidisziplinär) so- wie die vorgesehenen Fachdisziplinen und Gutachterfragen bekannt. In diesem Stadium kann die versicherte Person erst einmal (nicht personen- bezogene) materielle Einwendungen gegen eine Begutachtung an sich</w:t>
      </w:r>
    </w:p>
    <w:p>
      <w:r>
        <w:t>Urteil des Verwaltungsgerichts des Kantons Bern vom 12. Sept. 2018, IV/18/474, Seite 6 oder gegen Art oder Umfang der Begutachtung vorbringen (Beispiele: unnötige second opinion; unzutreffende Wahl der medizinischen Diszipli- nen). Ausserdem hat sie Anspruch, sich zu den Gutachterfragen zu äus- sern (BGE 138 V 271 E. 1.1 S. 275, 137 V 210 E. 3.4.2.9 S. 258). In einem zweiten Verfahrensschritt teilt die IV-Stelle der versicherten Person die durch SuisseMED@P zugeteilte Gutachterstelle (bzw. bei mono- und bidisziplinären Expertisen die von ihr ausgewählten Gutachter) und die Namen der Sachverständigen mit jeweiligem Facharzttitel mit. Mit der Be- zeichnung der Sachverständigen kommt die Möglichkeit (materieller oder formeller) personenbezogener Einwendungen hinzu (BGE 140 V 507 E. 3.1 S. 510, 139 V 349 E. 5.2.2.2 S. 355, 138 V 271 E. 1.1 S. 274, 137 V 210 E. 3.4.2.7 S. 257).</w:t>
      </w:r>
    </w:p>
    <w:p>
      <w:r>
        <w:rPr>
          <w:b/>
        </w:rPr>
        <w:t>E. 2.3.2</w:t>
      </w:r>
    </w:p>
    <w:p>
      <w:r>
        <w:t>Nach Art. 30 Abs. 1 der Bundesverfassung (BV; SR 101) und Art. 6 Ziff. 1 der Europäischen Menschenrechtskonvention (EMRK; SR 0.101) hat jede Person Anspruch darauf, dass ihre Sache von einem unparteiischen, unvoreingenommenen und unbefangenen Richter ohne Einwirken sach- fremder Umstände entschieden wird. Für Sachverständige gelten grundsätzlich die gleichen Ausstands- und Ab- lehnungsgründe, wie sie für Richterinnen und Richter vorgesehen sind. Da sie nicht Mitglied des Gerichts sind, richten sich die Anforderungen zwar nicht nach Art. 30 Abs. 1 BV, sondern nach Art. 29 Abs. 1 BV. Hinsichtlich der Unparteilichkeit und Unbefangenheit kommt Art. 29 Abs. 1 BV indessen ein mit Art. 30 Abs. 1 BV weitgehend übereinstimmender Gehalt zu (SVR 2017 IV Nr. 67 S. 209 E. 3.2). Demnach ist Befangenheit anzunehmen, wenn Umstände vorliegen, die geeignet sind, Misstrauen in die Unpartei- lichkeit zu erwecken (BGE 132 V 93 E. 7.1 S. 109; SVR 2015 IV Nr. 23 S. 70 E. 6.1.1). Bei der Befangenheit handelt es sich allerdings um einen inne- ren Zustand, der nur schwer bewiesen werden kann. Es braucht daher für die Ablehnung nicht nachgewiesen zu werden, dass die sachverständige Person tatsächlich befangen ist. Es genügt vielmehr, wenn Umstände vor- liegen, die den Anschein der Befangenheit und die Gefahr der Voreinge- nommenheit zu begründen vermögen. Bei der Beurteilung des Anscheins der Befangenheit und der Gewichtung solcher Umstände kann jedoch nicht auf das subjektive Empfinden einer Partei abgestellt werden. Das Miss-</w:t>
      </w:r>
    </w:p>
    <w:p>
      <w:r>
        <w:t>Urteil des Verwaltungsgerichts des Kantons Bern vom 12. Sept. 2018, IV/18/474, Seite 7 trauen muss vielmehr in objektiver Weise als begründet erscheinen (BGE 134 I 20 E. 4.2 S. 21, 133 I 1 E. 6.2 S. 6). Im Hinblick auf die erhebliche Bedeutung, welche den Arztgutachten im Sozialversicherungsrecht zu- kommt, ist an die Unparteilichkeit der Gutachterperson ein strenger Mass- stab anzusetzen (BGE 132 V 93 E. 7.1 S. 109 f.; vgl. auch BGE 137 V 210 E. 2.1.3 S. 231).</w:t>
      </w:r>
    </w:p>
    <w:p>
      <w:r>
        <w:rPr>
          <w:b/>
        </w:rPr>
        <w:t>E. 3</w:t>
      </w:r>
    </w:p>
    <w:p>
      <w:r>
        <w:t>Zu Recht unbestritten ist, dass – beim multifaktoriellen Beschwerdebild und bis anhin nicht erfolgter interdisziplinärer Begutachtung – zur rechtsgenüg- lichen Sachverhaltsabklärung (vgl. E. 2.1 hiervor) ein polydisziplinäres Gut- achten erforderlich ist. Ebenfalls unstrittig sind die notwendigen Fachrichtungen. Schliesslich wird die Vergabe des Gutachtensauftrags an die MEDAS weder beanstandet noch bestehen Anhaltspunkte dafür, dass das entsprechende Verfahren nicht regelkonform (vgl. E. 2.3.1 hiervor) durchgeführt worden wäre (vgl. AB 117, 121). Uneinig sind sich die Partei- en jedoch über die Zulässigkeit der Mitwirkung des für die neuropsycholo- gische Untersuchung vorgesehenen Gutachters lic. phil. F.________.</w:t>
      </w:r>
    </w:p>
    <w:p>
      <w:r>
        <w:rPr>
          <w:b/>
        </w:rPr>
        <w:t>E. 3.1</w:t>
      </w:r>
    </w:p>
    <w:p>
      <w:r>
        <w:t>Der Beschwerdeführer legt dar, er sei am … niedergeschlagen und deshalb im Spital G.________ notfallmässig behandelt worden, wobei er seither unter anhaltenden Einschränkungen (fehlender Geruch- und Ge- schmacksinn, starke Kopfschmerzen, starker Schwindel mit Sturzrisiko) leide. Der Strafprozess gegen den Täter sei zurzeit vor dem Gericht H.________ hängig. Das Spital G.________ habe ein Interesse daran, all- fällige Behandlungsfehler oder Ähnliches zu vertuschen. Im Austrittsbericht (Beschwerdebeilage [BB] 2) seien die Beschwerden nicht wahrheitsgemäss wiedergegeben resp. verharmlost worden; wichtige Aufzeichnungen wür- den zudem fehlen. Das Spital G.________ habe der Staatsanwaltschaft auf Anfrage angegeben, es sei nicht mit bleibenden Schäden zu rechnen (BB 5); er leide aber nach wie vor unter erheblichen Beeinträchtigungen. Weil das Spital G.________ versuche, seine Schädigungen kleinzureden, lehne er jegliche Personen ab, die im Zusammenhang mit dieser Institution stän- den. Lic. phil. F.________ sei Angestellter des Spitals G.________ und</w:t>
      </w:r>
    </w:p>
    <w:p>
      <w:r>
        <w:t>Urteil des Verwaltungsgerichts des Kantons Bern vom 12. Sept. 2018, IV/18/474, Seite 8 stehe deshalb in einem Abhängigkeitsverhältnis zu diesem. Ausserdem sei Dr. med. I.________, praktischer Arzt, der ihn damals im Spital G.________ untersucht seine Beschwerden kleingeredet habe, mit lic. phil. F.________ bekannt, hätten sie doch schon gemeinsam Vorträge gehalten.</w:t>
      </w:r>
    </w:p>
    <w:p>
      <w:r>
        <w:rPr>
          <w:b/>
        </w:rPr>
        <w:t>E. 3.2</w:t>
      </w:r>
    </w:p>
    <w:p>
      <w:r>
        <w:t>Zu prüfen ist, ob die vom Beschwerdeführer geltend gemachten Ablehnungsgründe berechtigt sind, d.h. ob Umstände vorliegen, die aus objektiver Sicht geeignet sind, Misstrauen in die Unparteilichkeit von lic. phil. F.________ zu erwecken:</w:t>
      </w:r>
    </w:p>
    <w:p>
      <w:r>
        <w:rPr>
          <w:b/>
        </w:rPr>
        <w:t>E. 3.2.1</w:t>
      </w:r>
    </w:p>
    <w:p>
      <w:r>
        <w:t>Eine mit einem gutachtlichen Auftrag unvereinbare Vorbefassung als behandelnde Fachperson liegt nicht vor: Der Neuropsychologe lic. phil. F.________ war weder bei der notfallmässigen Behandlung des Be- schwerdeführers im Spital G.________ vom ... bis … (vgl. BB 1 f.) oder bei der Nachkontrolle (… [vgl. BB 3]) beteiligt noch ist er im Strafprozess invol- viert (AB 132; vgl. sogleich). Vielmehr ergaben die Abklärungen der Be- schwerdegegnerin (AB 133 ff.), dass lic. phil. F.________ „nie persönlich“ mit dem Beschwerdeführer „zu tun hatte“ (Aktennotiz zum Telefongespräch zwischen der Versicherungsfachfrau der Beschwerdegegnerin und des CEO der MEDAS vom 28. Mai 2018 [AB 134]; vgl. auch E-Mail des CEO der MEDAS vom 25. Mai 2018 [AB 135]). Folglich ist insoweit – d.h. weil lic. phil. F.________ keine (vormals) behandelnde Fachperson ist – ein Befan- genheitsanschein zu verneinen.</w:t>
      </w:r>
    </w:p>
    <w:p>
      <w:r>
        <w:rPr>
          <w:b/>
        </w:rPr>
        <w:t>E. 3.2.2</w:t>
      </w:r>
    </w:p>
    <w:p>
      <w:r>
        <w:t>Beim hängigen Strafverfahren vor dem Gericht H.________ sind lediglich der Beschuldigte/Berufungsführer, die Generalstaatsanwaltschaft des Kantons … sowie der Beschwerdeführer (als Straf- und Zivilkläger bzw. Anschlussberufungsführer) Partei (vgl. AB 151), womit es um die straf- und zivilrechtliche Verantwortlichkeit (einzig) des Beschuldi- gen/Berufungsführers gehen dürfte. Folglich ist nicht erkennbar, inwiefern ein Anstellungsverhältnis mit dem Spital G.________ beim vorgesehenen Gutachter den Anschein der Befangenheit erwecken sollte. Die vorliegende Konstellation ist insbesondere nicht vergleichbar mit derjenigen, in welcher ein Prozess betreffend die zivil- oder strafrechtliche Verantwortlichkeit des Spitals bzw. der behandelnden Ärzte hängig wäre (bzw. in Analogie etwa mit dem Fall, in welchem eine Richterin in einem Staatshaftungsprozess gegen eine Universität Titularprofessorin an der gleichen Universität war,</w:t>
      </w:r>
    </w:p>
    <w:p>
      <w:r>
        <w:t>Urteil des Verwaltungsgerichts des Kantons Bern vom 12. Sept. 2018, IV/18/474, Seite 9 was objektiv einen Anschein der Befangenheit begründete; Urteil des Bun- desgerichts [BGer] vom 27. März 2017, 8C_642/2016, E. 4). Inwiefern das Spital G.________ resp. lic. phil. F.________ ein Interesse daran haben könnte, im Rahmen der hier zur Diskussion stehenden Begutachtung „all- fällige Behandlungsfehler […] zu vertuschen“ (Beschwerde, S. 1), ist bei diesen Gegebenheiten nicht nachvollziehbar.</w:t>
      </w:r>
    </w:p>
    <w:p>
      <w:r>
        <w:rPr>
          <w:b/>
        </w:rPr>
        <w:t>E. 3.2.3</w:t>
      </w:r>
    </w:p>
    <w:p>
      <w:r>
        <w:t>Schliesslich macht der Beschwerdeführer geltend, lic. phil. F.________ und Dr. med. I.________, der ihn nach dem Vorfall vom … untersucht und seine Beschwerden kleingeredet habe, seien beide im Spi- tal G.________ angestellt resp. miteinander „bekannt“ (Beschwerde, S. 1). Allein die Tatsache, dass die beiden Personen sich kennen resp. im glei- chen Spital arbeiten, lässt für sich allein nicht auf Voreingenommenheit im hier zu beurteilenden Fall schliessen. Abgesehen davon, dass es sich beim Spital G.________ nicht um einen Verein oder dergleichen handelt, dessen Zweck in der gegenseitigen Förderung und Unterstützung seiner Mitglieder besteht, ist der Personenkreis – bei einem Angestelltenvolumen von fast 1000 Vollzeitstellen (vgl. www…..ch &gt;…) zu gross, um allein wegen des gleichen Arbeitgebers den Anschein von Befangenheit zu erwecken (zum Ganzen: vgl. BENJAMIN SCHINDLER, Die Befangenheit der Verwaltung, Diss. Zürich 2002, S. 113). Auch der Umstand, dass lic. phil. F.________ und Dr. med. I.________ im Jahr 2017 beide ein Referat an der gleichen Weiterbildungsveranstaltung vor fachärztlich interessiertem Publikum hielten, begründet keinen An- schein der Befangenheit im hier zu beurteilenden Fall. Eine über die beruf- liche Tätigkeit hinaus bestehende freundschaftliche, familiäre oder anderweitige Verbindung wird weder geltend gemacht noch bestehen ent- sprechende Anhaltspunkte, zumal selbst eine sog. „Duz-Freundschaft“ nicht notwendigerweise mit Voreingenommenheit verbunden zu sein braucht (vgl. (MERKLI/AESCHLIMANN/HERZOG, Kommentar zum bernischen VRPG, 1997, Art. 9 N. 17). Dass zwischen lic. phil. F.________ und Dr. med. I.________ einderart besonders freundschaftliches Verhältnis beste- hen würde, dass die Intensität und Qualität der beanstandeten Beziehung vom Mass des sozial Üblichen abwiche und daher geeignet wäre, sich auf die gutachtliche Tätigkeit im hier zu beurteilenden auszuwirken (vgl.</w:t>
      </w:r>
    </w:p>
    <w:p>
      <w:r>
        <w:t>Urteil des Verwaltungsgerichts des Kantons Bern vom 12. Sept. 2018, IV/18/474, Seite 10 REGINA KIENER, Richterliche Unabhängigkeit, 2001, S. 133), macht der Be- schwerdeführer nicht geltend und ist auch nicht ersichtlich. Mithin darf von einem als Gutachter tätigen Spezialisten grundsätzlich erwartet werden, dass er auch Berichte von Ärzten kritisch und mit der notwendigen profes- sionellen Distanz würdigt, die ihm persönlich bekannt sind. Der Beschwer- deführer vermag jedenfalls nicht darzulegen, inwiefern aus einem Bekanntenverhältnis zwischen Dr. med. I.________ und lic. phil. F.________ eine Interessenkollision entstanden sein könnte.</w:t>
      </w:r>
    </w:p>
    <w:p>
      <w:r>
        <w:rPr>
          <w:b/>
        </w:rPr>
        <w:t>E. 3.3</w:t>
      </w:r>
    </w:p>
    <w:p>
      <w:r>
        <w:t>Zusammenfassend ist der Anschein der Befangenheit in Bezug auf lic. phil. F.________ zu verneinen. Damit ist die angefochtene Verfügung vom 28. Mai 2018 (AB 136) nicht zu beanstanden und die dagegen erho- bene Beschwerde ist abzuweisen.</w:t>
      </w:r>
    </w:p>
    <w:p>
      <w:r>
        <w:rPr>
          <w:b/>
        </w:rPr>
        <w:t>E. 4</w:t>
      </w:r>
    </w:p>
    <w:p>
      <w:r>
        <w:t>Zu eröffnen (R): - A.________ - IV-Stelle Bern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Bestellung der Gutachter resp. deren Ablehnung ist Bestandteil des Verfahrens zur Beurteilung des Leistungsanspruchs (vgl. Beschluss der erweiterten Abteilungskonferenz des Verwaltungsgerichts des Kantons Bern vom 30. April 2013). Die Verfahrenskosten, gerichtlich bestimmt auf Fr. 500.--, hat bei diesem Ausgang des Verfahrens der Beschwerdeführer zu tragen. Diese werden dem geleisteten Kostenvorschuss gleicher Höhe entnommen.</w:t>
      </w:r>
    </w:p>
    <w:p>
      <w:r>
        <w:rPr>
          <w:b/>
        </w:rPr>
        <w:t>E. 4.2</w:t>
      </w:r>
    </w:p>
    <w:p>
      <w:r>
        <w:t>Bei diesem Verfahrensausgang besteht kein Anspruch auf eine Par- teientschädigung (Art. 61 lit. g ATSG [Umkehrschluss]). Demnach entscheidet der Einzelrichter:</w:t>
      </w:r>
    </w:p>
    <w:p>
      <w:r>
        <w:t>Urteil des Verwaltungsgerichts des Kantons Bern vom 12. Sept. 2018, IV/18/474, Seite 11 1. Die Beschwerde wird abgewiesen. 2. Die Verfahrenskosten von Fr. 500.-- werden dem Beschwerdeführer zur Bezahlung auferlegt und dem geleisteten Kostenvorschuss in gleicher Höhe entnommen.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