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42 vom 30. November 2017</w:t>
      </w:r>
    </w:p>
    <w:p>
      <w:r>
        <w:t>BE Verwaltungsgericht, 2017-11-30, DE</w:t>
      </w:r>
    </w:p>
    <w:p>
      <w:r>
        <w:rPr>
          <w:b/>
        </w:rPr>
        <w:t xml:space="preserve">Quelle: </w:t>
      </w:r>
      <w:r>
        <w:t>https://mcp.opencaselaw.ch/entscheid/be_verwaltungsgericht_200_2018_42</w:t>
      </w:r>
    </w:p>
    <w:p>
      <w:r>
        <w:t>FR: BE_VERWALTUNGSGERICHT 200 2018 42 du 30 novembre 2017</w:t>
      </w:r>
    </w:p>
    <w:p>
      <w:r>
        <w:t>IT: BE_VERWALTUNGSGERICHT 200 2018 42 del 30 novembre 2017</w:t>
      </w:r>
    </w:p>
    <w:p>
      <w:pPr>
        <w:pStyle w:val="Heading2"/>
      </w:pPr>
      <w:r>
        <w:t>Regeste</w:t>
      </w:r>
    </w:p>
    <w:p>
      <w:r>
        <w:t>Einspracheentscheid vom 30. November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der AKB vom 30. November 2017 (AB 83). Streitig ist der Anspruch auf EL ab April 2017 (vgl. AB 55). Im Rahmen des Streitgegenstandes ist allein zu prüfen, ob und gegebenenfalls in welchem Umfang familienrechtliche Unterhaltsbei- träge als Ausgaben bei der Berechnung der EL zu berücksichtigen sind. Daher hat sich die richterliche Beurteilung praxisgemäss auf diesen Punkt zu beschränken, wogegen kein Anlass besteht, die übrigen unbestrittenen Berechnungspositionen in die Prüfung mit einzubeziehen (BGE 110 V 48 E. 4a S. 53; ZAK 1992 S. 487 E. 1b).</w:t>
      </w:r>
    </w:p>
    <w:p>
      <w:r>
        <w:rPr>
          <w:b/>
        </w:rPr>
        <w:t>E. 1.3</w:t>
      </w:r>
    </w:p>
    <w:p>
      <w:r>
        <w:t>Die Abteilungen urteilen gewöhnlich in einer Kammer bestehend aus drei Richterinnen oder Richtern (Art. 56 Abs. 1 GSOG).</w:t>
      </w:r>
    </w:p>
    <w:p>
      <w:r>
        <w:t>Urteil des Verwaltungsgerichts des Kantons Bern vom 13. März 2018, EL/18/42, Seite 4</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Zu den anrechenbaren Ausgaben gehören u.a. geleistete familien- rechtliche Unterhaltsbeiträge (Art. 10 Abs. 3 lit. e ELG). 2.2 Art. 2 Abs. 2 ZGB gewährt offenbarem Rechtsmissbrauch keinen Rechtsschutz. Das Rechtsmissbrauchsverbot gilt als allgemeiner Rechts- grundsatz auch im öffentlichen Recht. Es steht der Inanspruchnahme eines Rechtsinstituts zu Zwecken entgegen, welche dieses nicht schützen will, und lässt scheinbares Recht weichen, wo offenbares Unrecht geschaffen würde. Nur stossendes, zweckwidriges Verhalten erscheint aber rechts- missbräuchlich und soll über das Rechtsmissbrauchsverbot sanktioniert werden (Entscheid des Bundesgerichts [BGer] vom 9. März 2015, 9C_740/2014, E. 5.3 mit Hinweisen). 3. 3.1 Der Beschwerdeführer bringt vor, er habe zwar im Jahr 2017 im Vergleich zu seinen finanziellen Möglichkeiten klar zu hohe Unterhalts- pflichten anerkannt; die AKB könne sich jedoch nicht auf den Standpunkt</w:t>
      </w:r>
    </w:p>
    <w:p>
      <w:r>
        <w:t>Urteil des Verwaltungsgerichts des Kantons Bern vom 13. März 2018, EL/18/42, Seite 5 stellen, er habe entsprechende Unterhaltsbeiträge gar nicht geleistet, da er bereits ab April 2017 solche im Umfang von Fr. 17'808.-- erbracht habe (Beschwerde, S. 3 Ziff. 3). Es sei auch nicht daraus zu schliessen, dass die geleisteten Unterhaltsbeiträge a priori nicht als Ausgaben zu berücksichti- gen seien. Vielmehr sei der Grundsatz zu bejahen und die geleisteten Zah- lungen angemessen zu berücksichtigen (Beschwerde, S. 5 Ziff. 8). Die Be- schwerdegegnerin wiederum führt an, angesichts des im Berechnungsblatt veranschlagten Existenzminimums des Beschwerdeführers und seines Einkommens entspräche die Unterhaltsverpflichtung von monatlich Fr. 4'230.-- in keiner Weise den finanziellen Möglichkeiten des Beschwer- deführers (Beschwerdeantwort, S. 2 Ziff. 2.1). Selbst wenn dem im summa- rischen Verfahren ergangenen Entscheid des Zivilrichters Rechtskraft zu- kommen würde, wäre die eingegangene Unterhaltsverpflichtung für die EL nicht bindend (Beschwerdeantwort, S. 3 Ziff. 2.3). Erst im Rahmen der Be- schwerde seien wenige Unterhaltszahlungen dokumentiert worden; diese, aus dem Sparguthaben erbrachten Zahlungen, könnten nicht berücksichtigt werden (Beschwerdeantwort, S. 3 Ziff. 2.4). 3.2 Der Beschwerdeführer hat bis Ende Februar 2017 (in Teilzeit zu 60 %) gearbeitet (AB 30) und verfügt seither allein über Renteneinkommen von jährlich total Fr. 58'332.-- (Fr. 37'260.-- AHV inkl. Kinderrente [AB 13] und Fr. 21'072.-- zweite Säule inkl. Kinderrente [AB 18]), d.h. monatlich Fr. 4'861.--. Mit Trennungsvereinbarung vom 11. April 2017 verpflichtete er sich, seiner Frau und seiner Tochter monatliche Unterhaltsbeiträge von total Fr. 4'230.-- (Bezahlung des Mietzinses von Fr. 1'450.--, Weiterleitung der Kinderrenten von Fr. 1'180.-- und Geldzahlung von Fr. 1'600.--) zu be- zahlen (AB 19), d.h. jährlich Fr. 50'760.--. Dabei wurde explizit kein Er- werbseinkommen berücksichtigt (vgl. AB 29 und 31), vielmehr seien – gemäss der Darstellung des Beschwerdeführers – auf Anraten des Zivil- richters Ergänzungsleistungen (faktisch) beachtet worden (vgl. Beschwer- de, S. 3 Ziff. 1). Gemäss Angaben in der Beschwerde (S. 3 f.) wurden von Ende April bis Ende November 2017 total Fr. 17'808.-- sowie ab April 2017 der monatliche Mietzins der Ehefrau des Beschwerdeführers von Fr. 1'451.- - bezahlt.</w:t>
      </w:r>
    </w:p>
    <w:p>
      <w:r>
        <w:t>Urteil des Verwaltungsgerichts des Kantons Bern vom 13. März 2018, EL/18/42, Seite 6 3.3 Nach Art. 10 Abs. 3 lit. e ELG werden geleistete familienrechtliche Unterhaltsbeiträge als Ausgaben anerkannt (vgl. E. 2.1 hiervor). Dies gilt jedoch nicht absolut, denn berücksichtigt werden können allein angemes- sene, nicht aber überhöhte Unterhaltsbeiträge. Andernfalls dienten die EL dazu, nicht finanzierbare Unterhaltsleistungen zu alimentieren, was zu ei- ner Privilegierung von Rentenbezügern gegenüber nicht rentenbeziehen- den Personen führte und eine nicht zu rechtfertigende Ungleichbehandlung darstellte. Insoweit kann keine Bindungswirkung an die Entscheide der Zi- vilgerichtsbarkeit bestehen und zwar auch dann nicht, wenn diese Ent- scheide rechtskräftig sind. Aus den Ziff. 3271.01 der Wegleitung über die Ergänzungsleistungen zur AHV und IV (WEL) kann im Übrigen nichts ande- res abgeleitet werden, denn diese Vorschriften betreffen allein den Fall, dass die Unterhaltsbeiträge nachträglich überhöht werden, nicht aber die Konstellation, dass die zu bezahlenden Leistungen von Anfang an zu hoch sind. Sind im Rahmen der Festsetzung der Unterhaltsbeiträge durch den Zivil- richter EL tatsächlich berücksichtigt worden (wie es der Beschwerdeführer vorbringt), liegt zudem ein Rechtsmissbrauch des Instituts der EL vor (vgl. dazu auch Entscheid des BGer vom 9. März 2015, 9C_740/2014, E. 5.3), was dazu führt, dass die entsprechende Vereinbarung – obwohl richterlich genehmigt – nicht zu berücksichtigen ist. Denn bei der Festsetzung der familienrechtlichen Unterhaltsbeiträge sind allein Einkommen und Er- satzeinkommen zu berücksichtigen (ROLF VETTERLI, in INGEBORG SCHWEN- ZER/ROLAND FANKHAUSER, FamKomm Scheidung, 3. Auflage, S. 508 f. Rz. 32), wozu EL gerade nicht gehören, da es sich dabei – für das Sozial- versicherungsrecht atypisch – um eine Bedarfsleistung handelt. Das Bun- desgericht hat denn auch – im Fall nachträglich erhöhter Unterhaltsbeiträge – festgehalten, dass die EL nicht bezwecken, für überhöht festgesetzte, nie den tatsächlichen Verhältnissen angepasste, seit Jahren nicht geleistete Unterhaltsbeiträge aufzukommen (vgl. BGE 9C_740/2014, E. 5.3). Es be- steht deshalb auch in diesem Fall von vornherein keine Bindung an die Entscheide der Zivilgerichtsbarkeit. Daran ändert nichts, dass die Tren- nungsvereinbarung – wie hier (AB 21) – gerichtlich genehmigt worden ist, denn der Rechtsmissbrauch bleibt bestehen, auch wenn er richterlich sank- tioniert worden ist.</w:t>
      </w:r>
    </w:p>
    <w:p>
      <w:r>
        <w:t>Urteil des Verwaltungsgerichts des Kantons Bern vom 13. März 2018, EL/18/42, Seite 7 Damit sind hier die vereinbarten Unterhaltsbeiträge nicht als Ausgaben zu anerkennen, obwohl sie gerichtlich genehmigt worden sind. Nicht weiter einzugehen ist deshalb an dieser Stelle (vgl. aber E. 3.5 hiernach) auf die Frage, ob die entsprechenden Unterhaltsleistungen nur zu berücksichtigen sind, wenn sie effektiv bezahlt werden, was hier während einer gewissen Zeit der Fall gewesen ist resp. immer noch ist (Beschwerde, S. 3 f.). 3.4 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131 V 472 E. 5 S. 480; Entscheid des BGer vom 16. August 2017, 8C_108/2017 [zur Publikation vorgesehen], E. 5.2.1) ist dies der Fall,</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