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406 vom 18. September 2018</w:t>
      </w:r>
    </w:p>
    <w:p>
      <w:r>
        <w:t>BE Verwaltungsgericht, 2018-09-18, DE</w:t>
      </w:r>
    </w:p>
    <w:p>
      <w:r>
        <w:rPr>
          <w:b/>
        </w:rPr>
        <w:t xml:space="preserve">Quelle: </w:t>
      </w:r>
      <w:r>
        <w:t>https://mcp.opencaselaw.ch/entscheid/be_verwaltungsgericht_200_2018_406</w:t>
      </w:r>
    </w:p>
    <w:p>
      <w:r>
        <w:t>FR: BE_VERWALTUNGSGERICHT 200 2018 406 du 18 septembre 2018</w:t>
      </w:r>
    </w:p>
    <w:p>
      <w:r>
        <w:t>IT: BE_VERWALTUNGSGERICHT 200 2018 406 del 18 settembre 2018</w:t>
      </w:r>
    </w:p>
    <w:p>
      <w:pPr>
        <w:pStyle w:val="Heading2"/>
      </w:pPr>
      <w:r>
        <w:t>Regeste</w:t>
      </w:r>
    </w:p>
    <w:p>
      <w:r>
        <w:t>Verfügung vom 27. April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27. April 2018 (AB 197). Streitig und zu prüfen ist der Anspruch des Beschwerdeführers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w:t>
      </w:r>
    </w:p>
    <w:p>
      <w:r>
        <w:t>Urteil des Verwaltungsgerichts des Kantons Bern vom 18. Sept. 2018, IV/18/406, Seite 5 Dreiviertelsrente, wenn sie mindestens 60 % invalid ist. Bei einem Invali- ditätsgrad von mindestens 50 % besteht Anspruch auf eine halbe Rente und bei einem Invaliditätsgrad von mindestens 40 % ein solcher auf eine Viertelsrente. 2.3 Für die Bestimmung des Invaliditätsgrades Erwerbstätiger wird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2.5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 Grund eingehender Beobachtungen und Untersuchun-</w:t>
      </w:r>
    </w:p>
    <w:p>
      <w:r>
        <w:t>Urteil des Verwaltungsgerichts des Kantons Bern vom 18. Sept. 2018, IV/18/406, Seite 6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2.6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2.7 Wird ein Gesuch um Revision eingereicht, so ist darin glaubhaft zu machen, dass sich der Grad der Invalidität oder der Hilflosigkeit oder die Höhe des invaliditätsbedingten Betreuungsaufwands oder Hilfebedarfs des Versicherten in einer für den Anspruch erheblichen Weise geändert hat (Art. 87 Abs. 2 der Verordnung vom 17. Januar 1961 über die Invalidenver- sicherung [IVV; SR 831.201]). Wurde eine Rente, eine Hilflosenentschädi- gung oder ein Assistenzbeitrag wegen eines zu geringen Invaliditätsgrades, wegen fehlender Hilflosigkeit oder weil aufgrund des zu geringen Hilfebe- darfs kein Anspruch auf einen Assistenzbeitrag entsteht, verweigert, so wird eine neue Anmeldung nur geprüft, wenn die Voraussetzung nach Abs. 2 erfüllt ist (Art. 87 Abs. 3 IVV, vgl. auch BGE 130 V 343 E. 3.5.3 S. 351). Dies gilt analog, wenn die versicherte Person nach vorausgegan- gener rechtskräftiger Ablehnung erneut eine Eingliederungsmassnahme beantragt (BGE 113 V 22 E. 3b S. 27; ZAK 1991 S. 262 E. 1a). Erheblich ist eine Sachverhaltsänderung, wenn angenommen werden kann, der An- spruch auf eine Invalidenrente (oder deren Erhöhung) sei begründet, falls sich die geltend gemachten Umstände als richtig erweisen sollten (SVR 2014 IV Nr. 33 S. 121 E. 2). Diese Eintretensvoraussetzung soll verhindern, dass sich die Verwaltung immer wieder mit gleichlautenden und nicht näher</w:t>
      </w:r>
    </w:p>
    <w:p>
      <w:r>
        <w:t>Urteil des Verwaltungsgerichts des Kantons Bern vom 18. Sept. 2018, IV/18/406, Seite 7 begründeten, d.h. keine Veränderung des Sachverhalts darlegenden Ren- tengesuchen befassen muss (BGE 133 V 108 E. 5.3.1 S. 112).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 derung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 3.1 Fest steht, dass die Beschwerdegegnerin auf die Neuanmeldung vom Februar 2016 (AB 139) eingetreten ist und den Rentenanspruch in der angefochtenen Verfügung vom 27. April 2018 (AB 197) materiell geprüft hat. Die Eintretensfrage ist – da nicht streitig – vom Gericht nicht zu beur- teilen (BGE 109 V 108 E. 2b S. 114). Indes ist zu prüfen, ob im massge- benden Vergleichszeitraum zwischen der Verfügung vom 17. Januar 2014 (AB 119) und der Verfügung vom 27. April 2018 (AB 197) eine Verände- rung in den tatsächlichen Verhältnissen eingetreten ist, die geeignet ist, den Invaliditätsgrad in einer für den Rentenanspruch erheblichen Weise zu beeinflussen. Erst wenn dies zu bejahen ist, ist der Rentenanspruch frei zu prüfen.</w:t>
      </w:r>
    </w:p>
    <w:p>
      <w:r>
        <w:t>Urteil des Verwaltungsgerichts des Kantons Bern vom 18. Sept. 2018, IV/18/406, Seite 8 3.2 Die Beschwerdegegnerin stützte sich bei Erlass der Verfügung vom 17. Januar 2014 (AB 119) massgeblich auf die verschiedenen Berichte von Dr. med. E.________, Facharzt für orthopädische Chirurgie und Arzt beim Regionalen Ärztlichen Dienst der IV-Stellen Bern/Freiburg/Solothurn (RAD), und das von ihm formulierte Zumutbarkeitsprofil. Demgemäss sei dem Beschwerdeführer die bisherige Tätigkeit als selbständiger … bis auf den administrativen Anteil der Tätigkeit nicht mehr zumutbar. Zumutbar seien noch körperlich leichte bis mittelschwere Tätigkeiten ohne repetitives Heben/Tragen von Lasten über 10 bis maximal 15 kg. Gehen sei auf ebe- ner Unterlage bis zu einer Stunde, auf unebener Unterlage jedoch nicht mehr zumutbar. Stehen an Ort sei bis zu einer Stunde möglich, die Sitz- dauer sei nicht eingeschränkt. Nicht zumutbar seien Tätigkeiten im Knien oder in der Hocke sowie Tätigkeiten in Zwangshaltung oder gebeugter Po- sition. Eine angepasste Tätigkeit könne dem Beschwerdeführer ab dem 1. Mai 2010 in einem ganztägigen Pensum mit einer maximalen Leis- tungsminderung von 15 bis 20 % wegen Verlangsamung, Bewegungsein- schränkung und vermehrten Pausenbedarfs zugemutet werden (AB 104 S. 3; vgl. auch AB 111 S. 2, 100 S. 2 f., 80 S. 2 ff., 48 S. 2, 32 S. 2, 21 S. 4). 3.3 Hinsichtlich der Entwicklung des Gesundheitszustandes seit Erlass der Verfügung vom 17. Januar 2014 (AB 119) lässt sich den Akten im We- sentlichen das Folgende entnehmen: 3.3.1 Dem Operationsbericht von Dr. med. F.________ vom 13. März 2015 (AB 166 S. 6 ff.) ist zu entnehmen, dass bei diagnostizierter sympto- matischer Subtalargelenk-Arthrose rechts eine Arthrodese vorgenommen wurde. Die postoperativ durchgeführte Röntgenkontrolle habe ein regel- rechtes Arthrodeseergebnis mit korrekter Implantatlage gezeigt. 3.3.2 Im Bericht des Spitals G.________ vom 27. Juni 2016 (AB 155 S. 3 f.) wurden ein chronisches Lumbovertebralsyndrom mit Facettengelenk- sarthrose L4/5 sowie schwerer Osteochondrose L5/S1 und ein Status nach diversen Infiltrationen jeweils ohne langfristigen Erfolg diagnostiziert. Es bestehe eine längere Geschichte mit Rückenschmerzen. Mehrfache Infiltra- tionen seien bis jetzt jeweils nicht längerfristig zielführend gewesen.</w:t>
      </w:r>
    </w:p>
    <w:p>
      <w:r>
        <w:t>Urteil des Verwaltungsgerichts des Kantons Bern vom 18. Sept. 2018, IV/18/406, Seite 9 3.3.3 Aus dem Verlaufsbericht von Dr. med. H.________ vom 11. Janu- ar 2017 (AB 161) geht hervor, dass eine im Juli 2016 durchgeführte Infiltra- tion L4/5 zu einer kurzfristigen Besserung geführt habe; seit Monaten gehe es dem Patienten jedoch wieder schlechter. Eine weitere Infiltration sei geplant. 3.3.4 Im Bericht vom 13. März 2017 (AB 166 S. 4 f.) diagnostizierte Dr. med. F.________ einen Verdacht auf Tendinitis der Tibialis posterior- Sehne rechts bei Status nach Subtalargelenk-Arthrodese rechts 03/15 und Status nach OSG-TP rechts 02/13. Befundlich zeige sich neben dem chro- nischen Lymphödem im Bereich des rechten Fusses und des rechten Un- terschenkels ein isolierter Druckschmerz im retromalleolären Verlauf der Tibialis posterior-Sehne rechts bei suffizienter muskulärer Funktion. Es bestehe keine Planustendenz. In der radiologischen Kontrolle des OSG hätten sich ein unverändert fester Prothesensitz sowie eine konsolidierte subtalare Arthrodese ohne Lockerungszeichen bestätigt. In der MRI- Untersuchung habe keine höhergradige Tendinitis im Bereich des medialen Fusses bei jedoch starker Artefaktbildung durch die Implantate nachgewie- sen werden können. Im Verlauf seien die Beschwerden deutlich rückläufig und bei der aktuellen Kontrolle nur noch auf Druck auslösbar gewesen. Aus diesem Grund werde zurzeit auf weitere Massnahmen verzichtet. 3.3.5 Dr. med. I.________, Facharzt für Orthopädische Chirurgie und Traumatologie des Bewegungsapparates, diagnostizierte im Bericht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t>Urteil des Verwaltungsgerichts des Kantons Bern vom 18. Sept. 2018, IV/18/406, Seite 4</w:t>
      </w:r>
    </w:p>
    <w:p>
      <w:r>
        <w:rPr>
          <w:b/>
        </w:rPr>
        <w:t>E. 15</w:t>
      </w:r>
    </w:p>
    <w:p>
      <w:r>
        <w:t>April 2017 (AB 166 S. 2 f.) u.a. eine symptomatische AC- Gelenksarthrose bei Tendinopathie der Supraspinatussehne in der rechten dominanten Schulter. Seit Jahren bestünden chronisch persistierende Schmerzen vor allem im AC-Gelenksbereich bei allen Bewegungen im Sin- ne der Aussenrotation/Abduktion sowie Überkopfbewegungen mit Kraftein- satz. Physiotherapie sei ohne wesentliche Wirkung geblieben, Infiltrationen hätten noch keine stattgefunden. Sollte mit selektiver Infiltration keine Bes- serung auftreten, müsste eine Schulterarthroskopie und Acromioplastik diskutiert werden. 3.3.6 Dem interdisziplinären Gutachten der Dres. med. D.________ und C.________ vom 25. September 2017 (AB 185.1) sind die folgenden Dia- gnosen mit Auswirkung auf die Arbeitsfähigkeit zu entnehmen (S. 18 f.):</w:t>
      </w:r>
    </w:p>
    <w:p>
      <w:r>
        <w:t>Urteil des Verwaltungsgerichts des Kantons Bern vom 18. Sept. 2018, IV/18/406, Seite 10 1. Chronische, vorwiegend bewegungs- und belastungsabhängige Rück- fussschmerzen rechts (ICD-10: M79.67) - subtalare Arthrodese seit 03/15 (ICD-10: Z98.1) - OSG-Totalprothese seit 02/13 (ICD-10: Z96.6) - Status nach multiplen Voroperationen als Folge einer schweren Rück- fussdistorsion vor etwa 30 Jahren (ICD-10: Z98.8/T93.2) 2. Chronische rezidivierende, vorwiegend bewegungsabhängige Schulter- schmerzen rechts (ICD-10: M79.61) - klinischer Verdacht auf subakromiales Impingement und Tendiopathie der langen Bizepssehne (ICD-10: M75.4/M75.2) 3. Chronisches lumbovertebrales Schmerzsyndrom ohne ausstrahlende Symptomatik (ICD-10: M54.4) - Degenerative Veränderungen der unteren Lendenwirbelsäule mit Spondylarthrosen und Osteochondrosen (ICD-10: M47.86/M42.16) - anamnestisch Status nach Deckplattenkompressionsfraktur von LWK2 (ICD-10: T91.1) - Verdacht auf residuelles radikuläres Syndrom L4 links 4. Chronische, vorwiegend belastungsabhängige Hüftschmerzen rechts (ICD-10: M79.65) - Status nach Arthroskopie mit Débridement und Knochenplastik am 01.10.2009 (ICD-10: Z98.8) 5. Medial betonte Gonarthrose rechts (ICD-10: M17.3) - Anamnestisch Status nach Arthroskopie mit subtotaler medialer Me- niskektomie vor Jahren (ICD-10: Z98.8) 6. Polyneuropathie (aethylisch) (ICD-10: G62.1) Aus orthopädischer Sicht korrelierten die subjektiven Beschwerden mit den objektiven Befunden. Es resultiere eine deutlich verminderte Belastbarkeit, vor allem die rechte Seite am Bewegungsapparat betreffend. Es seien nur noch körperlich leichte Tätigkeiten in wechselnder Position möglich, mit einer Hebe- und Traglimite von 5 kg, ohne Zwangshaltung des Rumpfes und des rechten Beines, ohne repetitive Bewegung des rechten Armes oberhalb der Horizontalen. Für derartige Tätigkeiten bestehe keine quanti- tative Einschränkung der Arbeitsfähigkeit. Die meisten administrativen Tätigkeiten wären dementsprechend vollumfänglich möglich. In körperlich schweren, mittelschweren und den obigen Kriterien nicht angepassten Tätigkeiten, so auch in der angestammten als …, bestehe eine bleibend aufgehobene Arbeitsfähigkeit (S. 19). Die körperlich reduzierte Belastungs- fähigkeit bestehe bereits seit vielen Jahren und entsprechend sei auch die Arbeitsfähigkeit im angestammten Tätigkeitsbereich seit langem reduziert bzw. aufgehoben. Aus heutiger Sicht wiederum sei nicht erkennbar, dass körperlich adaptierte Tätigkeiten gemäss dem formulierten Belastungsprofil in der Vergangenheit durch pathologische Befunde jemals während länge- rer Zeit relevant eingeschränkt gewesen seien (S. 14 f.).</w:t>
      </w:r>
    </w:p>
    <w:p>
      <w:r>
        <w:t>Urteil des Verwaltungsgerichts des Kantons Bern vom 18. Sept. 2018, IV/18/406, Seite 11 In der neurologischen Untersuchung sei eine Polyneuropathie zu erwähnen, welche wahrscheinlich äthylisch bedingt sei, wie der erhöhte CDT-Wert vermuten lasse. Es beständen qualitative Einschränkungen für Arbeiten mit Anforderungen an das Gleichgewichtsvermögen. Für körperlich leichte, teilweise sitzende Tätigkeiten bestehe neurologisch keine Einschränkung (S. 19). Zusammenfassend resultiere aus bidisziplinärer Sicht, dass beim Explo- randen eine bleibende Arbeitsunfähigkeit in schweren, mittelschweren, nicht adaptierten Tätigkeiten, so in der angestammten als …, zu bestätigen sei. In körperlich leichten, gut adaptierten Tätigkeiten bestehe eine vollständige Arbeits- und Leistungsfähigkeit. Die aktuelle Einschätzung dürfte retrospektiv seit einigen Jahren in diesem Ausmass anzunehmen sein, könne jedenfalls seit der letzten IV-Anmeldung vom Februar 2016 über die Zeit gemittelt so bestätigt werden (S. 19). 3.3.7 Im Bericht vom 27. Dezember 2017 (AB 194 S. 4 ff.) diagnostizierte Dr. med. J.________, Facharzt für Medizinische Onkologie und Innere Medizin, eine Waldenström-Makroglobulinämie. Bei fehlenden Hyperviskositätssymptomen, fehlender Anämie oder Hepatosplenomegalie sowie fehlenden Hinweisen für eine Hämolyse sei aktuell noch keine Therapieindikation gegeben und es könne ein exspektatives Vorgehen verfolgt werden. 3.4 Die Beschwerdegegnerin stützte sich bei ihrem Entscheid auf das interdisziplinäre Gutachten der Dres. med. D.________ und C.________ vom 25. September 2017 (AB 185.1). Dieses erfüllt die von der höchstrich- terlichen Rechtsprechung an den Beweiswert eines medizinischen Berichts gestellten Anforderungen (vgl. E. 2.6.1 f. hiervor) und überzeugt. Die Fachärzte haben sich in ihrer Beurteilung in Kenntnis der medizinischen Vorakten sorgfältig mit den gesundheitlichen Einschränkungen des Be- schwerdeführers auseinandergesetzt und ihre Schlussfolgerungen gestützt auf die Vorakten und ihre eigenen Untersuchungen getroffen. Die Aus- führungen in den Beurteilungen der medizinischen Zusammenhänge sind einleuchtend und die gezogenen Schlussfolgerungen zum Gesundheitszu- stand sowie der noch zumutbaren Tätigkeiten sind nachvollziehbar begrün-</w:t>
      </w:r>
    </w:p>
    <w:p>
      <w:r>
        <w:t>Urteil des Verwaltungsgerichts des Kantons Bern vom 18. Sept. 2018, IV/18/406, Seite 12 det. Vom Beschwerdeführer wird dies denn auch explizit anerkannt (Be- schwerde S. 5 Ziff. 18). Damit ist erstellt, dass im massgebenden Vergleichszeitraum (vgl. E. 3.1 hiervor) diverse medizinische Eingriffe stattgefunden haben (Arthrodese, Facettengelenks-Infiltrationen) und neue Diagnosen hinzugetreten sind (klinischer Verdacht auf subakromiales Impingement und Tendiopathie der langen Bizepssehne), sich daraus jedoch keine wesentliche Änderung des Zumutbarkeitsprofils im Vergleich zu demjenigen ergibt, welches der Verfü- gung vom 17. Januar 2014 (AB 119) zu Grunde lag. Zwar sind dem Be- schwerdeführer im Gegensatz zur früheren Beurteilung auch mittelschwere Tätigkeiten nicht mehr zumutbar und beträgt die Hebe- und Traglimite statt 10 bis maximal 15 kg nur noch 5 kg, weiterhin liegt jedoch eine vollständige Arbeitsfähigkeit in einer leidensadaptierten Tätigkeit vor. Ausgehend von dem mit Verfügung vom 17. Januar 2014 (AB 119) festgelegten Invali- ditätsgrad von 26 % ist evident, dass trotz des nunmehr etwas einge- schränkteren Zumutbarkeitsprofils keine wesentliche Änderung in den tatsächlichen Verhältnissen vorliegt, die geeignet wäre, den Rentenan- spruch zu beeinflussen (SVR 2013 IV Nr. 44 S. 135 E. 6.1.2). An diesem Ergebnis ändert nichts, dass die Gutachter Dres. med. D.________ und C.________ im Unterschied zum RAD-Arzt Dr. med. E.________ keine Leistungsminderung mehr attestierten (AB 104 S. 3, 185.1 S. 20), stellt dies doch lediglich eine unterschiedliche Beurteilung eines an sich gleich ge- bliebenen Sachverhalts und nicht die Berücksichtigung einer Sachver- haltsänderung dar. Ebenfalls um keine wesentliche Veränderung der tatsächlichen Verhältnisse handelt es sich bei der nach Erstellung des Gut- achtens diagnostizierten Waldenström-Makroglobulinämie, da diese (bislang) keine Auswirkungen auf die Arbeitsfähigkeit hat (AB 194 S. 4 ff.). 3.5 In erwerblicher Hinsicht ist im massgebenden Vergleichszeitraum (vgl. E. 3.1 hiervor) keine Veränderung ausgewiesen. Wie im Zeitpunkt des Erlasses der Verfügung vom 17. Januar 2014 (AB 119) ist dem Beschwer- deführer auch aktuell die Ausübung seiner angestammten Tätigkeit als selbständiger … nicht mehr möglich. Zum damaligen Zeitpunkt hatte der Beschwerdeführer keine seinem Leiden angepasste Tätigkeit aufgenom-</w:t>
      </w:r>
    </w:p>
    <w:p>
      <w:r>
        <w:t>Urteil des Verwaltungsgerichts des Kantons Bern vom 18. Sept. 2018, IV/18/406, Seite 13 men (AB 119 S. 4), woran sich auch zwischenzeitlich nichts geändert hat (AB 185.1 S. 20). 3.6 Der Beschwerdeführer begründet seinen Antrag auf Zusprechung einer ganzen Rente mit der fehlenden Verwertbarkeit der Restarbeitsfähig- keit auf dem ausgeglichenen Arbeitsmarkt aufgrund seines fortgeschritte- nen Alters verbunden mit den gesundheitsbedingten Einschränkungen (Be- schwerde S. 6 f.; vgl. BGE 138 V 457 E. 3.1 S. 460). Damit vermag er nicht durchzudringen. Da es sowohl an einem gesundheitlichen als auch an ei- nem erwerblichen Revisionsgrund mangelt, hat eine freie Überprüfung des Invaliditätsgrades zu unterbleiben (vgl. E. 2.7 hiervor; BGE 141 V 9 E. 5.2 S. 12). Das fortgeschrittene Alter alleine stellt – da invaliditätsfremd – kei- nen Revisionsgrund dar, welcher eine freie Überprüfung zu begründen vermöchte. Insofern besteht für die Anwendung der vom Beschwerdeführer zitierten Rechtsprechung kein Raum. Wie sich die Situation bei einer erst- maligen Anmeldung zum Rentenbezug darstellen würde, braucht an dieser Stelle nicht erörtert zu werden. 3.7 Aufgrund des Dargelegten ist erstellt, dass im massgebenden Vergleichszeitraum (vgl. E. 3.1 hiervor) keine für den Rentenanspruch we- sentliche Änderung in den tatsächlichen Verhältnissen eingetreten ist, wo- mit die Beschwerdegegnerin das Leistungsgesuch des Beschwerdeführers zu Recht abgewiesen hat. Die zusätzliche Durchführung eines Einkom- mensvergleichs (AB 188 S. 3, 197 S. 1) war unter diesen Umständen ent- behrlich. Die gegen die Verfügung vom 27. April 2018 (AB 197) erhobene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18. Sept. 2018, IV/18/406, Seite 14 Bei diesem Ausgang des Verfahrens hat der unterliegende Beschwerdefüh- rer die Verfahrenskosten, gerichtlich bestimmt auf Fr. 800.--, zu tragen (Art. 108 Abs. 1 VRPG). Diese werden dem geleisteten Kostenvorschuss in gleicher Höhe entnommen. 4.2 Es besteht kein Anspruch auf eine Parteientschädigung (Art. 1 Abs. 1 IVG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