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2018 390 vom 17. April 2018</w:t>
      </w:r>
    </w:p>
    <w:p>
      <w:r>
        <w:t>BE Verwaltungsgericht, 2018-04-17, DE</w:t>
      </w:r>
    </w:p>
    <w:p>
      <w:r>
        <w:rPr>
          <w:b/>
        </w:rPr>
        <w:t xml:space="preserve">Quelle: </w:t>
      </w:r>
      <w:r>
        <w:t>https://mcp.opencaselaw.ch/entscheid/be_verwaltungsgericht_200_2018_390</w:t>
      </w:r>
    </w:p>
    <w:p>
      <w:r>
        <w:t>FR: BE_VERWALTUNGSGERICHT 200 2018 390 du 17 avril 2018</w:t>
      </w:r>
    </w:p>
    <w:p>
      <w:r>
        <w:t>IT: BE_VERWALTUNGSGERICHT 200 2018 390 del 17 aprile 2018</w:t>
      </w:r>
    </w:p>
    <w:p>
      <w:pPr>
        <w:pStyle w:val="Heading2"/>
      </w:pPr>
      <w:r>
        <w:t>Regeste</w:t>
      </w:r>
    </w:p>
    <w:p>
      <w:r>
        <w:t>Einspracheentscheid vom 17. April 2018</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Anfechtungsgegenstand bildet der Einspracheentscheid vom 17. April 2018 (act. II 1/7-13). Die darin (E. 1.3 i.V.m. E. 1.11 [act. II 1/8 f.]) als Einsprache interpretierte Eingabe des Beschwerdeführers vom 10. Juli 2017 (act. II 1/208 [=act. II 1/125, 1/200, 1/203]) richtete sich zwar unmiss- verständlich einzig gegen die beiden Rückerstattungsverfügungen vom 28. Juni 2017 (act. II 1/225-230 bzw. 1/234- 238), wobei das betreffende</w:t>
      </w:r>
    </w:p>
    <w:p>
      <w:r>
        <w:t>Urteil des Verwaltungsgerichts des Kantons Bern vom 27. Nov. 2018, EL/18/390, Seite 4 Einspracheverfahren durch Rechtsmittelrückzug (act. II 1/137) gegen- standslos wurde (notabene ohne dass das Verfahren seinen formell korrek- ten Abschluss mittels Prozessentscheid in Form eines Abschreibungsbe- schlusses gefunden hätte [act. II 1/122]). Indem die Verwaltung den weite- ren EL-Anspruch im angefochtenen Einspracheentscheid aber gleichsam von Amtes wegen prüfte, erwuchs die ihm zu Grunde liegende Verfügung vom 7. Juli 2017 (act. II 1/219-224) jedenfalls nicht in formelle Rechtskraft. Streitig und zu prüfen ist demnach der EL-Anspruch ab 1. Januar 2017 und in diesem Zusammenhang, ob in der EL-Berechnung zu Recht eine Miet- zinsaufteilung vorgenommen wurde. Die richterliche Beurteilung hat sich praxisgemäss auf diesen Punkt zu beschränken, wenn aufgrund der Akten – wie grundsätzlich hier (vgl. aber E. 4 hiernach) – kein Anlass besteht, die übrigen unbestritten gebliebenen Punkte in die Prüfung miteinzubeziehen (BGE 131 V 329 E. 4 S. 330).</w:t>
      </w:r>
    </w:p>
    <w:p>
      <w:r>
        <w:rPr>
          <w:b/>
        </w:rPr>
        <w:t>E. 1.3</w:t>
      </w:r>
    </w:p>
    <w:p>
      <w:r>
        <w:t>Mit Blick darauf, dass ein EL-Entscheid in zeitlicher Hinsicht Rechtsbeständigkeit nur für ein Kalenderjahr entfalten kann (BGE 128 V 39 E. 3b S. 41) und die Mietanteile aller einbezogenen Mitbewohner insge- samt ab Januar 2017 Fr. 8‘130.-- pro Jahr (act. II 1/224) bzw. ab April 2017 Fr. 12‘195.-- pro Jahr (act. II 1/14, 1/223) betragen, wird die Streitwertgren- ze von Fr. 20‘000.-- nicht erreicht, womit die Beurteilung der Beschwerde in die einzelrichterliche Zuständigkeit fällt (Art. 57 Abs. 1 GSOG).</w:t>
      </w:r>
    </w:p>
    <w:p>
      <w:r>
        <w:rPr>
          <w:b/>
        </w:rPr>
        <w:t>E. 1.4</w:t>
      </w:r>
    </w:p>
    <w:p>
      <w:r>
        <w:t>Das Gericht überprüft den angefochtenen Entscheid frei und ist an die Begehren der Parteien nicht gebunden (Art. 61 lit. c und d ATSG; Art. 80 lit. c Ziff. 1 und Art. 84 Abs. 3 VRPG). 2. 2.1 Gemäss Art. 4 Abs. 1 des Bundesgesetzes vom 6. Oktober 2006 über Ergänzungsleistungen zur Alters-, Hinterlassenen- und Invalidenversi- cherung (ELG; SR 831.30) haben Personen mit Wohnsitz und gewöhnli- chem Aufenthalt in der Schweiz Anspruch auf Ergänzungsleistungen, wenn sie eine Rente der AHV oder IV beziehen oder nach lit. b oder d der ge- nannten Bestimmung Anspruch auf eine solche Rente hätten. Die Ergän- zungsleistungen bestehen aus der jährlichen Ergänzungsleistung sowie der</w:t>
      </w:r>
    </w:p>
    <w:p>
      <w:r>
        <w:t>Urteil des Verwaltungsgerichts des Kantons Bern vom 27. Nov. 2018, EL/18/390, Seite 5 Vergütung von Krankheits- und Behinderungskosten (Art. 3 Abs. 1 ELG). Die jährliche Ergänzungsleistung entspricht dem Betrag, um den die aner- kannten Ausgaben die anrechenbaren Einnahmen übersteigen (Art. 9 Abs. 1 ELG). 2.2 Bei Personen, die nicht dauernd oder längere Zeit in einem Heim oder Spital leben (zu Hause lebende Personen), fällt unter die Ausgaben in erster Linie der Betrag für den allgemeinen Lebensbedarf pro Jahr. Dieser beträgt bei alleinstehenden Personen Fr. 19'290.-- bzw. bei Ehegatten Fr. 28‘935.-- (Art. 10 Abs. 1 f. ELG). Daneben gehören zu den anerkannten Ausgaben der Mietzins einer Wohnung und die damit zusammenhängen- den Nebenkosten, die Gewinnungskosten, die Gebäudeunterhaltskosten, die Beiträge an die Sozialversicherungen des Bundes, ein jährlicher Pau- schalbetrag für die obligatorische Krankenpflegeversicherung sowie geleis- tete familienrechtliche Unterhaltsbeiträge (Art. 10 Abs. 1 lit. b und Abs. 3 ELG). 2.3 Der jährlicher Höchstbetrag für die Wohnkosten beträgt bei allein- stehenden Personen Fr. 13‘200.-- bzw. bei Ehepaaren Fr. 15‘000.-- (vgl. Art. 10 Abs. 1 lit. b Ziff. 1 f.). Werden Wohnungen oder Einfamilienhäuser auch von Personen bewohnt, welche nicht in die EL-Berechnung einge- schlossen sind, dann ist der Mietzins auf die einzelnen Personen aufzutei- len. Die Mietzinsanteile der Personen, welche nicht in die EL-Berechnung eingeschlossen sind, werden bei der Berechnung der jährlichen EL ausser Betracht gelassen (Art. 16c Abs. 1 der Verordnung vom 15. Januar 1971 über die Ergänzungsleistungen zur Alters-, Hinterlassenen- und Invaliden- versicherung [ELV; SR 831.301]). Die Aufteilung hat grundsätzlich zu glei- chen Teilen zu erfolgen (Art. 16c Abs. 2 ELV). Die Mietzinsaufteilung ist auch dann vorzunehmen, wenn ein Teil der Wohnung oder des Einfamili- enhauses untervermietet ist (Bundesamt für Sozialversicherungen [BSV], Wegleitung über die Ergänzungsleistungen zur AHV und IV [WEL], gültig ab 1. April 2011, Rz. 3231.03).</w:t>
      </w:r>
    </w:p>
    <w:p>
      <w:r>
        <w:t>Urteil des Verwaltungsgerichts des Kantons Bern vom 27. Nov. 2018, EL/18/390, Seite 6 3. 3.1 Der Beschwerdeführer wohnte im fraglichen Zeitraum an der rubri- zierten Adresse in einer Liegenschaft, welche gemäss Auszug aus dem Grundstück-Informationssystem GRUDIS im Alleineigentum seiner Tochter, C.________, steht (act. II 1/183). Das angebaute Einfamilienhaus verfügt laut Aufnahmeprotokoll der Steuerverwaltung des Kantons Bern zur amtli- chen Grundstücksbewertung (act. II 1/154) über ein Untergeschoss (u.a. mit Nasszelle und zwei Zimmern [5.00m x 2.95m bzw. 4.45m x 2.51m]) sowie ein Erdgeschoss (u.a. mit Küche, Nasszelle und vier Zimmern [5.00m x 5.50m, 4.20m x 1.90m, 4.20m x 1.90m, 3.90m x 3.70m]). Die Be- schwerdegegnerin geht davon aus, dass das Einfamilienhaus seit 24. Juni 2008 zusätzlich von Herrn D.________ bzw. seit 13. März 2017 den Herren E.________ und F.________ (Enkel des Beschwerdeführers bzw. Söhne der Vermieterin) bewohnt wurde (act. II 1/221). 3.2 Diese vorerwähnten Drittpersonen waren ab den besagten Daten schriftenpolizeilich an der betreffenden Adresse gemeldet (act. II 1/190- 192, 1/241 f.), was als Indiz dafür zu werten ist, dass sie auch tatsächlich im selben Einfamilienhaus wie der Beschwerdeführer wohnten (vgl. URS MÜLLER, Rechtsprechung des Bundesgerichts zum ELG, 3. Aufl. 2015, Art. 10 N. 174). Hinzu kommt, dass die zweite Tochter des Beschwerdefüh- rers, Frau G.________, am 27. November 2017 explizit bestätigte, dass deren Schwester nebst dem Beschwerdeführer «sporadisch» weitere Mie- ter im Haus einquartiert habe (act. II 1/92 f.), was beschwerdeweise denn auch nicht substanziiert bestritten wird. Dies korreliert mit der Internet- Recherche der Beschwerdegegnerin vom Mai bzw. September 2017, die ergab, dass Räume im Gebäude als «WG Zimmer» bzw. «möblierte Zim- mer in EFH» zur Vermietung angeboten und als Kontakt Frau C.________ bzw. deren E-Mail-Adresse angegeben wurden (act. II 1/161, 1/243, 1/246). Zudem öffnete anlässlich der von der Einwohnergemeinde durchgeführten Kontrolle an der Wohnadresse des Beschwerdeführers vom 2. November 2017 eine weitere Drittperson die Türe (act. II 1/16), was ebenfalls als An- haltspunkt für ein Mehrpersonenhaushalt zu werten ist. Die Beteuerung des Beschwerdeführer im Verwaltungsverfahren, er habe stets alleine gewohnt (act. II 1/208 f.), ist nicht glaubhaft. Wenngleich sich</w:t>
      </w:r>
    </w:p>
    <w:p>
      <w:r>
        <w:t>Urteil des Verwaltungsgerichts des Kantons Bern vom 27. Nov. 2018, EL/18/390, Seite 7 die Rechtskraftwirkung der beiden Rückerstattungsverfügungen vom 28. Juni 2017 (act. II 1/225-230 bzw. 1/234- 238) nicht auf das vorliegende Verfahren erstreckt, ist hier immerhin der Umstand miteinzubeziehen, dass der Beschwerdeführer durch den Rückzug (act. II 1/137) seiner Einsprache (act. II 1/208) die damalige Mietzinsaufteilung akzeptierte und damit – nach vorgängigem Bestreiten – implizit einräumte, dass er jedenfalls in der Ver- gangenheit den Haushalt teilte. Ebenso wenig überzeugt die Bestätigung von Herrn D.________ vom Juli 2017 (act. II 1/210-212), wonach er ledig- lich ein «Keller-...-Büro-Raum» zum ... benutzt habe und eigentlich am ... in ... wohne. Würde dies zutreffen und hätte er das Zimmer an der ... somit nicht als Wohn-, sondern als blossen Hobbyraum gemietet, so wäre nicht einsichtig, weshalb er sich bereits per 24. Juni 2008 bei der Einwohnerge- meinde als dort wohnhaft meldete (act. II 1/241). Des Weiteren besteht – soweit erkennbar – ein Näheverhältnis zwischen ihm und dem Beschwer- deführer, trat der Erstere in den Mietverträgen aus den Jahren 2004 sowie 2005 doch als Vermieter des Letzteren auf, wobei ein nicht im Handelsre- gister figurierendes Einzelunternehmen mit der Firmierung «H.________» bzw. «I.________» und als Adresse jene von Frau C.________, Tochter des Beschwerdeführers, aufgeführt wurde (act. IIA 1/337 bzw. 1/388 f.). Bei dieser Ausgangslage ist den Aussagen des Herrn D.________ im Rahmen der freien Beweiswürdigung von vornherein ein reduzierter Beweiswert beizumessen. Überdies erscheint dubios, dass sich im Internet weiterhin ein Vermie- tungsangebot findet, wobei die Adresse ohne exakte Hausnummer ange- geben und die Identität der Eigentümerin der Liegenschaft verschleiert wird: Die Mobilfunknummer ist zwar mit jener identisch, welche bereits in der Anmeldung zum Leistungsbezug vom 25. Januar 2002 angegeben wurde und auch von der Eigentümerin Frau C.________ verwendet wird (act. II 1/185, 1/252; act. IIA 1/612 Ziff. XI). Als Kontakt wird hingegen der Ledigname der am … 2005 verstorbenen Ehefrau des Beschwerdeführers, Frau J.________ (act. IIA 1/588), vorgeschoben (vgl. &lt;www.....ch&gt;, Immo- code ... [abgerufen am 23. November 2018]; Ausdruck im Gerichtsdossier). In der Beschwerdeantwort (S. 9 Ziff. 2.8; vgl. auch act. IIA 522) wurde auf weitere Ungereimtheiten hingewiesen, welche von der Eigentümerin aus- gingen, die vom Beschwerdeführer zwischenzeitlich (vgl. act. IIA 1/372)</w:t>
      </w:r>
    </w:p>
    <w:p>
      <w:r>
        <w:t>Urteil des Verwaltungsgerichts des Kantons Bern vom 27. Nov. 2018, EL/18/390, Seite 8 bevollmächtigt war (act. II 1/245, 1/252-254, 1/268, 1/308, 1/310) und deren Handeln er sich folglich anzurechnen hat. Vor diesem Hintergrund ist auch ihre Behauptung unglaubwürdig, wonach es sich bei der am 2. November 2017 angetroffenen Drittperson um einen Studenten handeln soll, der ver- einzelte Tage im Einfamilienhaus lerne, ohne die Nächte dort zu verbringen (act. II 1/16). 3.3 Nach dem hier massgebenden Regelbeweisgrad der überwiegen- den Wahrscheinlichkeit (vgl. BGE 138 V 218 E. 6 S. 221; SVR 2017 UV Nr. 20 S. 67 E. 3.2) hat als erstellt zu gelten, dass der Beschwerdeführer im hier relevanten Zeitraum ab 1. Januar 2017 zumindest mit einer bzw. ab</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 auch mit Blick auf die nach- stehende Erwägung (E. 1.2) – auf die Beschwerde einzutreten.</w:t>
      </w:r>
    </w:p>
    <w:p>
      <w:r>
        <w:rPr>
          <w:b/>
        </w:rPr>
        <w:t>E. 13</w:t>
      </w:r>
    </w:p>
    <w:p>
      <w:r>
        <w:t>März 2017 mindestens mit drei weiteren Personen im selben Ein- familienhaus wohnte und dies auch für den Rest des Kalenderjahres tat. Dass seine beiden Enkel bereits per 6. Juli 2017 den offiziellen Wohnsitz wieder an den ... in ... verlegten (act. II 1/191 f.) und auch Herr D.________ per 1. Juli 2017 eine entsprechende Mutation an die nämliche Adresse ver- anlasste (act. II 1/190, 1/210-212), ist angesichts des vorstehend Dargeleg- ten im Kontext der damals bereits verfügten (act. II 1/225-230 bzw. 1/234- 238) bzw. absehbaren (act. II 1/219-224) Mietzinsanrechnung bei den EL zu interpretieren. Mithin ist davon auszugehen, dass die Ummeldung ledig- lich zur Vermeidung einer Mietzinsanrechnung erfolgte, die tatsächliche Situation aber unverändert blieb. Weil für die zwei Stockwerke des Gebäudes (Unter- und Erdgeschoss) kei- ne separaten Eingänge bestehen, also keine Einliegerwohnung mit klarer räumlicher Teilung vorliegt, ist von einer Wohneinheit auszugehen. Selbst wenn sich die Drittpersonen hauptsächlich nicht im selben Stockwerk wie der Beschwerdeführer aufgehalten hätten oder oft verreist sein sollten (act. II 1/210, 1/212), ändert dies nichts daran, dass sie im Sinne von Art. 16c Abs. 1 ELV dasselbe Einfamilienhaus bewohnten. Nicht entschei- dend ist im Übrigen, ob und – wenn ja – welcher Teil des Einfamilienhau- ses untervermietet wurde (vgl. Rz. 3231.03 WEL in fine), ob Frau C.________ als Eigentümerin direkt «WG-Zimmer» (act. II 1/243) im Ge- bäude vermietete oder ob die Räume allenfalls faktisch unentgeltlich über- lassen wurden (Beschwerde S. 4 Ziff. III lit. B Ziff. 2; vgl. JÖHL/USINGER- EGGER, Ergänzungsleistungen zur AHV/IV, in ULRICH MEYER [Hrsg.],</w:t>
      </w:r>
    </w:p>
    <w:p>
      <w:r>
        <w:t>Urteil des Verwaltungsgerichts des Kantons Bern vom 27. Nov. 2018, EL/18/390, Seite 9 Schweizerisches Bundesverwaltungsrecht [SBVR], Band XIV, Soziale Si- cherheit, 3. Aufl. 2016, S. 1757 ff. N. 68 f.). Als Rechtsfolge hat gemäss Art. 16c Abs. 2 ELV folglich eine Mietzinsaufteilung nach Köpfen zu erfol- gen, zumal nicht geltend gemacht wird und auch nicht aktenkundig wäre, dass die Enkel nur (unentgeltlich) beim Beschwerdeführer wohnten, um diesen zu betreuen (vgl. dazu BGE 142 V 299, kommentiert in SZS 2017 S. 463). Nicht einschlägig ist im Übrigen der in der Beschwerde (S. 4 Ziff. III lit. B) erwähnte Entscheid des Bundesgerichts vom 20. Juni 2016, 9C_893/2015 (= BGE 142 V 402), ging es dort doch nicht um die Mietzin- saufteilung, sondern um den Betrag für den allgemeinen Lebensbedarf. Es ist demnach nicht zu beanstanden, dass die Beschwerdegegnerin vom jährlichen Nettomietzins von Fr. 16‘260.-- (Fr. 1‘355.-- [act. IIA 1/339] x 12 Monate) ab Januar 2017 die Hälfte (Fr. 8‘130.-- [Fr. 16‘260.-- / 2]) bzw. ab April 2017 drei Viertel (Fr. 12‘195.-- [Fr. 16‘260.-- x 0.75]) ausschied (act. II 1/223 f.; vgl. auch act. II 1/14). Bereits die Berücksichtigung eines einzigen Mitbewohners führt bei ansonsten unbestritten gebliebenen Faktoren zu einem jährlichen Überschuss (act. II 1/224), weshalb die Beschwerdegeg- nerin ab 1. Januar 2017 einen EL-Anspruch zu Recht verneinte. Die gegen den Einspracheentscheid vom 17. April 2018 (act. II 1/7-13) erhobene Be- schwerde ist demnach abzuweisen. Anzufügen bleibt das Nachstehende (vgl. E. 4 hiernach). 4. 4.1 Bezüglich eines allfälligen Vermögensverzichts des Beschwerdefüh- rers führte die Beschwerdegegnerin im Rahmen der Untersuchungsmaxime bisher keine rechtsgenüglichen Abklärungen durch. Zwar wies die Verwal- tung die zwei ersten Leistungsgesuche vom 20. Februar 2001 (act. IIA 1/605-608) und 25. Januar 2002 (act. IIA 1/609-612) am 3. Juli 2001 bzw.</w:t>
      </w:r>
    </w:p>
    <w:p>
      <w:r>
        <w:rPr>
          <w:b/>
        </w:rPr>
        <w:t>E. 17</w:t>
      </w:r>
    </w:p>
    <w:p>
      <w:r>
        <w:t>Juli 2002 ab (act. IIA 1/449 f., 1/469 f.), wobei sie (damals noch unter Einbezug der Ehefrau in die EL-Berechnung) einen noch nicht vollständig amortisierten Vermögensverzicht von Fr. 124‘310.-- aus dem Jahr 1994 im Zusammenhang mit der Handänderung von Immobilien berücksichtigte (act. IIA 1/451-453, 1/471-474). Bereits damals wurde indes die Anrech- nung eines noch höheren Verzichtsvermögens vorbehalten, da der Be-</w:t>
      </w:r>
    </w:p>
    <w:p>
      <w:r>
        <w:t>Urteil des Verwaltungsgerichts des Kantons Bern vom 27. Nov. 2018, EL/18/390, Seite 10 schwerdeführer offenbar während der letzten Jahre fast sein gesamtes Wertschriftenvermögen in die Liegenschaft der Töchter investierte, obwohl er als Nutzniesser (act. IIA 1/563) grundsätzlich lediglich den gewöhnlichen Unterhalt der Vertragssache zu tragen gehabt hätte (act. IIA 1/471 in fine). 4.2 Hinzu kommt, dass nach summarischer Prüfung der Aktenlage aus der früheren Verzichthandlung möglicherweise auch für den hier relevanten Zeitraum immer noch ein anzurechnendes Verzichtsvermögen resultiert. Der Beschwerdeführer hatte in der notariellen Urschrift vom Juni 1994 (act. IIA 1/592-598) ohne rechtliche Verpflichtung und ohne adäquate Ge- genleistung zugestimmt, dass seine Ehefrau ihre Grundstücke in den Ein- wohnergemeinden ... und ... den gemeinsamen Töchtern auf Rechnung künftiger Erbschaft abtrat (act. IIA 1/593 Ziff. 2). Da die betreffenden Lie- genschaften vorher im Alleineigentum seiner Ehefrau standen, hätte der Beschwerdeführer – je nach Güterstand und güterrechtlicher Zuordnung der Vermögenswerte – allenfalls bei deren Tod am … 2005 (act. IIA 1/588) rein eherechtlich daran nicht partizipiert, jedoch wäre ihm als gesetzlicher Erbe prinzipiell die Hälfte des Nachlasses zugestanden (vgl. Art. 462 Ziff. 1 des Schweizerischen Zivilgesetzbuches [ZGB; SR 210]). Soweit darin, dass sich die Vertragsparteien anhand von Verkehrswertschatzungen auf einen Anrechnungswert einigten (act. IIA 1/594 f. Ziff. 1; vgl. dazu allerdings MÜL- LER, a.a.O., Art. 11 N. 362), ein besonderer Umstand zu erblicken wäre, welcher bezüglich der Grundstückbewertung ein Abweichen vom massge- benden Repartitionswert (Art. 17 Abs. 6 ELV i.V.m. Art. 4 Abs. 1 des kanto- nalen Einführungsgesetzes vom 27. November 2008 zum Bundesgesetz über Ergänzungsleistungen zur Alters-, Hinterlassenen- und Invalidenversi- cherung [EG ELG; BSG 841.31]; WEL Anhang 1 Tabelle 6) rechtfertigte (vgl. dazu MÜLLER, a.a.O., Art. 11 N. 382, mit Hinweisen; BVR 2008 S. 136 ff.), läge der Vermögensverzicht grundsätzlich bei Fr. 486‘000.-- (Fr. 310‘000.-- Anrechnungswert Liegenschaft ... [act. IIA 1/595 Ziff. 1.2 lit. a] + Fr. 852‘000.-- Anrechnungswert Liegenschaft ... [act. IIA 1/595 Ziff. 1.2 lit. b] ./. Fr. 190‘000.-- Hypothekarschuld [act. IIA 1/595 Ziff. 1.2 lit. a] x 50 % Erbanteil). Nach Abzug der Amortisation von Fr. 230‘000.-- in der Zeit von 1995 bis 2017 (vgl. Art. 17a ELV) verbliebe, selbst unter Berücksichtigung des als Gegenleistung eingeräumten Nutzniessungs- rechts, wohl noch ein beachtlicher Betrag, der unter dem Titel des Vermö-</w:t>
      </w:r>
    </w:p>
    <w:p>
      <w:r>
        <w:t>Urteil des Verwaltungsgerichts des Kantons Bern vom 27. Nov. 2018, EL/18/390, Seite 11 gensverzichts anzurechnen wäre. Wie es sich damit verhält, kann hier nach dem Gesagten jedoch letztlich offen bleiben. 5. 5.1 In Anwendung von Art. 1 Abs. 1 ELG i.V.m. Art. 61 lit. a ATSG sind keine Verfahrenskosten zu erheben. 5.2 Bei diesem Ausgang des Verfahrens ist dem Beschwerdeführer keine Parteientschädigung zuzusprechen (Art. 1 Abs. 1 ELG i.V.m. Art. 61 lit. g ATSG [Umkehrschluss]). 5.3 Auf Gesuch hin befreit die Verwaltungsjustizbehörde eine Partei von den Kosten- und allfälligen Vorschuss- sowie Sicherstellungspflichten, wenn die Partei nicht über die erforderlichen Mittel verfügt und ihr Rechts- begehren nicht aussichtslos erscheint. Unter den gleichen Voraussetzun- gen kann einer Partei überdies ein Anwalt beigeordnet werden, wenn die tatsächlichen und rechtlichen Verhältnisse es rechtfertigen (Art. 61 lit. f ATSG sowie Art. 111 Abs. 1 und 2 VRPG; SVR 2011 IV Nr. 22 S. 61 E. 2). 5.3.1 Die Bedürftigkeit im Sinne der Prozessarmut ist aufgrund des be- scheidenen jährlichen Überschusses im Jahr 2018 knapp ausgewiesen (act. II 1/15; vgl. auch Gesuch um unentgeltliche Rechtspflege S. 2 Ziff. III Ziff. 2). Das Verfahren kann zudem noch gerade nicht als aussichtslos be- zeichnet werden und die Notwendigkeit einer Rechtsverbeiständung ist zu bejahen. Das Gesuch um unentgeltliche Rechtspflege und Beiordnung von Fürsprecherin B.________ ist demnach gutzuheissen; festzusetzen bleibt deren amtliches Honorar. 5.3.2 Gemäss Art. 42 des kantonalen Anwaltsgesetzes vom 28. März 2006 (KAG; BSG 168.11) bezahlt der Kanton den amtlich bestellten Anwäl- tinnen und Anwälten eine angemessene Entschädigung, die sich nach dem gebotenen Zeitaufwand bemisst und höchstens dem Honorar gemäss der Tarifordnung für den Parteikostenersatz entspricht. Bei der Festsetzung des gebotenen Zeitaufwandes sind die Bedeutung der Streitsache und die Schwierigkeit des Prozesses zu berücksichtigen. Auslagen und Mehrwert- steuer werden zusätzlich entschädigt (Abs. 1). Die Aufwendungen für die</w:t>
      </w:r>
    </w:p>
    <w:p>
      <w:r>
        <w:t>Urteil des Verwaltungsgerichts des Kantons Bern vom 27. Nov. 2018, EL/18/390, Seite 12 Erlangung des Rechts auf unentgeltliche Rechtspflege sind nach den glei- chen Regeln zu entschädigen (Abs. 3). Nach Art. 42 Abs. 4 KAG i.V.m. Art. 1 der kantonalen Verordnung vom 20. Oktober 2010 über die Entschä- digung der amtlichen Anwältinnen und Anwälte (EAV; BSG 168.711) be- trägt der Stundenansatz Fr. 200.--. Mit Kostennote vom 2. November 2018 hat Fürsprecherin B.________ ei- nen Zeitaufwand von 8.33 Stunden bzw. ein Honorar von Fr. 2‘249.10 zu- züglich Auslagen von Fr. 66.60 sowie die Mehrwertsteuer von 7.7 % (auf Fr. 2‘315.70) im Betrag von Fr. 178.30, total Fr. 2‘494.--, geltend gemacht, was nicht zu beanstanden ist. Folglich wird der tarifmässige Parteikosten- ersatz für dieses Verfahren auf Fr. 2‘494.-- festgesetzt. Davon ist Fürspre- cherin B.________ nach Eintritt der Rechtskraft dieses Urteils aus der Ge- richtskasse ein amtliches Honorar von Fr. 1‘666.-- (8.33 h x Fr. 200.--) zu- züglich Auslagen von Fr. 66.60 und Mehrwertsteuer von Fr. 133.40 (7.7 % von Fr. 1‘732.60), total somit eine Entschädigung von Fr. 1‘866.--, auszu- richten. Vorbehalten bleibt die Nachzahlungspflicht des Beschwerdeführers gegenüber dem Kanton Bern entsprechend den Voraussetzungen von Art. 123 ZPO (vgl. Art. 113 VRPG).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