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914 vom 20. August 2018</w:t>
      </w:r>
    </w:p>
    <w:p>
      <w:r>
        <w:t>BE Verwaltungsgericht, 2018-08-20, DE</w:t>
      </w:r>
    </w:p>
    <w:p>
      <w:r>
        <w:rPr>
          <w:b/>
        </w:rPr>
        <w:t xml:space="preserve">Quelle: </w:t>
      </w:r>
      <w:r>
        <w:t>https://mcp.opencaselaw.ch/entscheid/be_verwaltungsgericht_200_2017_914</w:t>
      </w:r>
    </w:p>
    <w:p>
      <w:r>
        <w:t>FR: BE_VERWALTUNGSGERICHT 200 2017 914 du 20 août 2018</w:t>
      </w:r>
    </w:p>
    <w:p>
      <w:r>
        <w:t>IT: BE_VERWALTUNGSGERICHT 200 2017 914 del 20 agosto 2018</w:t>
      </w:r>
    </w:p>
    <w:p>
      <w:pPr>
        <w:pStyle w:val="Heading2"/>
      </w:pPr>
      <w:r>
        <w:t>Regeste</w:t>
      </w:r>
    </w:p>
    <w:p>
      <w:r>
        <w:t>Einspracheentscheid vom 18. September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der Suva vom 18. Sep- tember 2017 (AB 266), welcher sich ausschliesslich zur Berechnung des Invaliditätsgrades sowie zur Höhe des versicherten Verdienstes äussert. Das Schreiben der Abteilung Versicherungsleistungen vom 20. September 2017 bestimmt anhand der im Einspracheentscheid geänderten Berech- nungsgrundlage die Höhe der Rentenleistung (AB 269) und bildet damit Bestandteil des Anfechtungsobjekts. Zu beurteilen ist vorliegend der Ren- tenanspruch und dabei insbesondere die Höhe des Valideneinkommens und des versicherten Verdienstes.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2017 sind die Änderung vom 25. September 2015 des des Bundesgesetzes vom 20. März 1981 über die Unfallversicherung (UVG; SR 832.20) und die Änderung vom 9. November 2016 der Verord- nung vom 20. Dezember 1982 über die Unfallversicherung (UVV; SR 832.202) in Kraft getreten. Versicherungsleistungen für Unfälle, die sich – wie vorliegend – vor dem Inkrafttreten der Änderung vom 25. September 2015 des UVG ereignet haben, und für Berufskrankheiten, die vor diesem</w:t>
      </w:r>
    </w:p>
    <w:p>
      <w:r>
        <w:t>Urteil des Verwaltungsgerichts des Kantons Bern vom 20. Aug. 2018, UV/17/914, Seite 5 Zeitpunkt ausgebrochen sind, werden nach bisherigem Recht gewährt (Abs. 1 der Übergangsbestimmungen zur Änderung vom 25. September 2015 des UVG). 2.2 Ist die versicherte Person infolge des Unfalles zu mindestens 10% invalid (Art. 8 ATSG), so hat sie Anspruch auf eine Invalidenrente (aArt. 18 Abs. 1 UVG in der bis 31. Dezember 2016 gültig gewesenen Fassung). Der Rentenanspruch entsteht, wenn von der Fortsetzung der ärztlichen Be- handlung keine namhafte Besserung des Gesundheitszustandes des Ver- sicherten mehr erwartet werden kann und allfällige Eingliederungsmass- nahmen der Invalidenversicherung abgeschlossen sind (Art. 19 Abs. 1 ers- ter Satz UVG). 2.3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3. Der medizinische Sachverhalt ist gestützt auf den kreisärztlichen Abschlussbericht vom 3. Juni 2016 (AB 161) und die Beurteilung vom 13. bzw. 18. Juli 2016 (AB 174), welchen voller Beweiswert zukommt (vgl. SVR 2008 IV Nr. 22 S. 70 E. 2.4 sowie BGE 125 V 351 E. 3b ee S. 354), zwi- schen den Parteien zu Recht unbestritten. Der Suva-Arzt Dr. med. F.________, Facharzt für Chirurgie, diagnostizierte im Bericht vom 3. Juni 2016 ein OSG-Supinationstrauma rechts am 1. September 1982, ein An- pralltrauma OSG rechts durch gegnerischen Fussballer am 27. Oktober 1991 und ein OSG-Distorsionstrauma rechts bei Treppensturz am 21. Fe- bruar 2014 (AB 161, S. 4). Er führte überzeugend aus, dass die Rückkehr in die angestammte Tätigkeit als ... in dieser Form aufgrund der hohen kör- perlichen Belastung angesichts der sekundären OSG-Arthrose nicht mehr zumutbar ist, zumal stehende oder gehende Tätigkeiten nicht ganztägig, sondern in einem Anteil von maximal 50% des Arbeitstages mit den übli-</w:t>
      </w:r>
    </w:p>
    <w:p>
      <w:r>
        <w:t>Urteil des Verwaltungsgerichts des Kantons Bern vom 20. Aug. 2018, UV/17/914, Seite 6 chen Arbeitspausen zumutbar sind, ohne Arbeiten verbunden mit Heben und Tragen von Lasten über 10 kg und mit dauerhaftem Treppensteigen. Als vorteilhaft wurden wechselbelastende Tätigkeiten mit teilweise Sitzen und Stehen erachtet. Ansonsten besteht keine zeitliche Einschränkung (AB 161, S. 6). Nach einer Schmerz-Dekompensation änderte Dr. med. F.________ am 13. bzw. 18. Juli 2016 das Zumutbarkeitsprofil schlüssig dahingehend, dass lediglich noch ganztägig sitzende Tätigkeiten möglich sind. Arbeiten verbunden mit Stehen und Gehen sind nicht mehr zumutbar, ebenso wie Arbeiten, bei denen im Stehen oder Gehen Lasten von mehr als 10 kg angehoben werden müssen (AB 174). Auf dieses Zumutbar- keitsprofil ist für die nachfolgende Invaliditätsbemessung abzustellen (vgl. E. 5 hiernach). 4. 4.1 Die Beschwerdegegnerin setzte den Rentenbeginn auf den 1. April 2017 fest, was – in Würdigung der Aktenlage – zu Recht nicht beanstandet wird (vgl. E. 2.2 hiervor sowie BGE 140 V 130 E. 2.2 S. 132, 137 V 199 E. 2.1 S. 201). 4.2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(Invalideneinkommen), in Beziehung ge- setzt zum Erwerbseinkommen, das sie erzielen könnte, wenn sie nicht in- valid geworden wäre (Valideneinkommen; Art. 16 ATSG). 4.2.1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SVR 2017 IV Nr. 52 S. 157 E. 5.1).</w:t>
      </w:r>
    </w:p>
    <w:p>
      <w:r>
        <w:t>Urteil des Verwaltungsgerichts des Kantons Bern vom 20. Aug. 2018, UV/17/914, Seite 7 4.2.2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 nommen, so können nach der Rechtsprechung entweder Tabellenlöhne gemäss den vom Bundesamt für Statistik periodisch herausgegebenen Lohnstrukturerhebungen (LSE) oder Lohnangaben aus der Dokumentation von Arbeitsplätzen (DAP) der Schweizerischen Unfallversicherungsanstalt (Suva) herangezogen werden (BGE 143 V 295 E. 2.2 S. 297). Die Vorlage von fünf zumutbaren Arbeitsplätzen erscheint in quantitativer Hinsicht in der Regel als genügend. Im Hinblick auf die geforderte Reprä- sentativität der DAP-Profile und der daraus abgeleiteten Lohnangaben sind im Sinne einer qualitativen Anforderung zusätzlich Angaben zu machen über die Gesamtzahl der aufgrund der gegebenen Behinderung in Frage kommenden dokumentierten Arbeitsplätze, über den Höchst- und den Tiefstlohn sowie über den Durchschnittslohn der dem jeweils verwendeten Behinderungsprofil entsprechenden Gruppe. Allfällige Einwendungen der versicherten Person bezüglich des Auswahlermessens und der Repräsen- tativität der DAP-Blätter im Einzelfall sind grundsätzlich im Einsprachever- fahren zu erheben. Ist die Suva nicht in der Lage, im Einzelfall den erwähn- ten Anforderungen zu genügen, kann im Bestreitungsfall nicht auf den DAP-Lohnvergleich abgestellt werden (BGE 139 V 592 E. 6.3 S. 595, 129 V 472 E. 4.2.2 S. 480). Im Rahmen des DAP-Systems, bei welchem aufgrund der ärztlichen Zu- mutbarkeitsbeurteilung anhand von Arbeitsplatzbeschreibungen konkrete Verweisungstätigkeiten ermittelt werden, sind Abzüge grundsätzlich nicht sachgerecht. Abzüge sind nur vorzunehmen, wenn zeitliche oder leis- tungsmässige Reduktionen medizinisch begründet sind. Im Übrigen wird spezifischen Beeinträchtigungen in der Leistungsfähigkeit bei der Auswahl der zumutbaren DAP-Profile Rechnung getragen. Bezüglich der weiteren persönlichen und beruflichen Merkmale (Teilzeitarbeit, Alter, Anzahl Dienst- jahre, Aufenthaltsstatus), die bei der Anwendung der LSE zu einem Abzug führen können, ist darauf hinzuweisen, dass auf den DAP-Blättern in der</w:t>
      </w:r>
    </w:p>
    <w:p>
      <w:r>
        <w:t>Urteil des Verwaltungsgerichts des Kantons Bern vom 20. Aug. 2018, UV/17/914, Seite 8 Regel nicht nur ein Durchschnittslohn, sondern ein Minimum und ein Maxi- mum angegeben sind, innerhalb deren Spannbreite auf die konkreten Um- stände Rücksicht genommen werden kann (BGE 139 V 592 E. 7.3 S. 597). 4.3 Die Invalidenrente beträgt bei Vollinvalidität 80% des versicherten Verdienstes; bei Teilinvalidität wird sie entsprechend gekürzt (Art. 20 Abs. 1 UVG). Als versicherter Verdienst gilt für die Bemessung der Taggelder der letzte vor dem Unfall bezogene Lohn, für die Bemessung der Renten der inner- halb eines Jahres vor dem Unfall bezogene Lohn (Art. 15 Abs. 2 UVG). Der versicherte Verdienst bestimmt sich – mit gewissen Abweichungen – nach dem gemäss der Bundesgesetzgebung über die AHV massgebenden Lohn (Art. 22 Abs. 2 UVV). Beginnt die Rente mehr als fünf Jahre nach dem Un- fall, so ist der Lohn massgebend, den der Versicherte ohne den Unfall im Jahre vor dem Rentenbeginn bezogen hätte, sofern er höher ist als der letzte vor dem Unfall erzielte Lohn (Art. 24 Abs. 2 UVV). 5. 5.1 Der Beschwerdeführer arbeitete – mit einem Unterbruch von 1992 bis 1997 – seit 1981 für die D.________ AG. Diese Stelle wurde ihm aus gesundheitlichen Gründen per 31. März 2017 gekündigt (vgl. AB 10, 214, 132, 135). Es ist somit davon auszugehen, dass der Beschwerdeführer im Gesundheitsfall immer noch für die D.________ AG tätig wäre. Gemäss Angaben der ehemaligen Arbeitgeberin vom 4. Juli 2017 hätte er im Jahr 2016 ohne gesundheitliche Einschränkungen insgesamt Fr. 78‘968.50 (Fr. 76‘968.-- [Grundlohn inklusive Arbeitsmarktzulage] + Fr. 400.-- [Einma- lzahlung wegen gutem Geschäftsgang] + Fr. 1‘600.-- [Lohnfortzahlungs- Zulagen]) verdient (AB 173). Am 27. Juli 2016 präzisierte die Arbeitgeberin, dass es sich bei den Fr. 1‘600.-- um die Lohnfortzahlung für erhaltene Zu- lagen (Nachtzulagen) handle. In ... erhielten die … heute in der Regel keine Nachtzulagen mehr. Die in Form von Einmalzahlungen ausgerichteten Leistungen variierten von Jahr zu Jahr stark. Durchschnittlich sei von Fr. 600.-- auszugehen (AB 185). Am 9. März 2017 führte die Arbeitgeberin sodann betreffend die mutmassliche Lohnentwicklung per 1. April 2017</w:t>
      </w:r>
    </w:p>
    <w:p>
      <w:r>
        <w:t>Urteil des Verwaltungsgerichts des Kantons Bern vom 20. Aug. 2018, UV/17/914, Seite 9 aus, dass die Lohnmassnahmen für das Jahr 2017 noch nicht bekannt sei- en. Gemäss Gesamtarbeitsvertrag betrage die individuelle Lohnmassnah- me mindestens 0.4% des Grundlohnes. Angesichts der letztjährigen 0.6% könne man von diesem Rahmen ausgehen (AB 234). Gestützt auf diese Angaben hat die Beschwerdegegnerin ein Valideneinkommen von Fr. 78‘035.-- (Fr. 76‘968.-- [Grundlohn] + Fr. 602.-- [durchschnittliche Zula- gen der Jahre 2010 bis 2014], ausmachend insgesamt Fr. 77‘570.--, aufge- rechnet auf das Jahr 2017 mit einer Erhöhung von 0.6%) berechnet, was nicht zu beanstanden ist (vgl. nachfolgend). Entgegen der Auffassung des Beschwerdeführers ist aufgrund der Akten nicht ersichtlich, dass der Grundlohn von Fr. 76‘968.-- – worin die Arbeits- marktzulagen von Fr. 4‘800.-- bereits inbegriffen sind (vgl. AB 173, 185) – nicht korrekt ist bzw. ab 1. Januar 2016 nur für neueintretende Mitarbeiter gelten sollte. Immerhin ist mit Blick auf den IK-Auszug festzustellen, dass ein (hypothetisches) Einkommen von insgesamt Fr. 78‘035.-- im Jahr 2017 realistisch ist, erzielte der Beschwerdeführer in der Zeit vor dem Unfall (im Jahr 2014) jeweils unterschiedlich hohe Einkommen zwischen Fr. 66‘000.-- und Fr. 78‘000.-- (2010: Fr. 76‘347.--; 2011: Fr. 73‘900.--; 2012: Fr. 66‘435.--; 2013: Fr. 78‘257.--; AB 132, S. 4). Sodann kann für die Ermitt- lung des Valideneinkommens auch nicht auf den versicherten Verdienst von Fr. 83‘940.50 abgestellt werden, der der Berechnung des Taggeldes zugrunde gelegt wird und bei dem zum Jahreslohn von Juli 2013 bis Juni 2014 die Familienzulagen berücksichtigt wurden (AB 185, S. 3). Für die Berechnung des Valideneinkommens ist es – im Unterschied zur Berech- nung des versicherten Verdienstes – nicht zulässig, Familienzulagen zu berücksichtigen (vgl. Entscheide des Bundesgerichts [BGer] vom 6. August 2010, 8C_316/2010, E. 5, und vom 29. August 2016, 8C_165/2016, E. 5.1). Darüber hinaus ist auch bei der Bemessung der Renten und Taggelder der versicherte Verdienst unterschiedlich geregelt (vgl. E. 4.3 hiervor). Schliesslich sind die Nachtzulagen von Fr. 1‘600.-- bei der Berechnung des Valideneinkommens zu Recht nicht berücksichtigt worden, erhalten die … in ... gemäss Angaben der ehemaligen Arbeitgeberin heute in der Regel doch keine Nachtzulagen mehr (AB 185, S. 1). Im Übrigen ist anzufügen, dass die Unfallversicherung auch nicht an die Invaliditätsbemessung der</w:t>
      </w:r>
    </w:p>
    <w:p>
      <w:r>
        <w:t>Urteil des Verwaltungsgerichts des Kantons Bern vom 20. Aug. 2018, UV/17/914, Seite 10 Invalidenversicherung gebunden ist (vgl. AB 278; BGE 131 V 362 E. 2.2 S. 366). Nach dem Gesagten beläuft sich das Valideneinkommen auf Fr. 78‘035.-- und ist der Einspracheentscheid soweit nicht zu bemängeln. 5.2 Unbestritten und nicht zu beanstanden ist, dass die Beschwerde- gegnerin das Invalideneinkommen anhand der DAP berechnete. Dazu eru- ierte sie 96 Arbeitsplätze, die dem vom Kreisarzt, Dr. med. F.________, formulierten Zumutbarkeitsprofil (vgl. E. 3 hiervor) entsprechen und be- stimmte deren Höchst-, Tiefst- und Durchschnittslohn. Sodann hat die Be- schwerdegegnerin fünf der medizinischen Zumutbarkeitsbeurteilung ent- sprechende DAP-Blätter beigebracht und anhand derer das Invalidenein- kommen 2016 auf Fr. 63‘010.-- bestimmt (AB 216). Diese Berechnung er- folgte im Rahmen der bundesgerichtlichen Rechtsprechung (vgl. E. 4.2.2 hiervor). Allerdings muss das entsprechende Einkommen auf das Jahr 2017 aufindexiert werden (vgl. E. 4.1 hiervor). Gestützt auf die Tabelle T1.1.10, Nominallohn, Männer, Total, ergibt sich ein Invalideneinkommen von Fr. 63‘312.60 (Fr. 63‘010.-- / 104.1 [2016] x 104.6 [2017]). 5.3 Somit resultiert bei einer Gegenüberstellung der Vergleichseinkom- men ein Invaliditätsgrad von 19% (100 / Fr. 78‘035.-- x [Fr. 78‘035.-- – Fr. 63‘312.60] = 18.86%; zu den Rundungsregeln vgl. BGE 130 V 121 E. 3.2 und 3.3 S. 123). Der Einspracheentscheid erweist sich insoweit im Ergebnis als richtig und die Beschwerde ist diesbezüglich abzuweisen. 6. Hinsichtlich des versicherten Verdienstes ermittelte die Beschwer- degegnerin einen Lohn von insgesamt Fr. 26‘851.90 (AB 263, 266) für das Jahr vor dem Unfall bzw. für die Periode vom 1. September 1981 bis 31. August 1982 für die Tätigkeiten bei der D.________ AG sowie der Fir- ma E.________ in ... (wo der Beschwerdeführer bis Dezember 1981 be- schäftig war; vgl. AB 132). Dieser Lohn ist unbestritten und nicht zu bean- standen. Gestützt darauf setzte die Beschwerdegegnerin den versicherten Verdienst auf Fr. 50‘460.-- fest.</w:t>
      </w:r>
    </w:p>
    <w:p>
      <w:r>
        <w:t>Urteil des Verwaltungsgerichts des Kantons Bern vom 20. Aug. 2018, UV/17/914, Seite 11 Die Aufindexierung auf das Jahr 2016 über verschiedene Indexsysteme ist nicht zu beanstanden, zumal die Indexierung nach Geschlecht und Bran- chen zu erfolgen hat (vgl. Entscheid des BGer vom 29. April 2015, 8C_123/2015, E. 3.2.3). Da eine Indexierung nach Branchen vor dem Jahr 1993 allerdings noch nicht möglich war, ist mit der Beschwerdegegnerin für die Periode von 1982 bis 1993 auf den allgemeinen Nominallohnindex, Tabelle T39, Entwicklung der Nominallöhne, der Konsumentenpreise und der Reallöhne, Nominallöhne, Männer, abzustellen (1982: 1143, 1993: 1743). Für die Zeit ab dem Jahr 1993 ist – entgegen der Auffassung des Beschwerdeführers – eine geschlechts- und branchenspezifische Indexie- rung vorzunehmen. Jedoch ist nicht nachvollziehbar, weshalb die Be- schwerdegegnerin für die Periode von 1993 bis 2005 offenbar auf die Ta- belle T1.1.93, Nominallohnindex, Männer, Zeile I: Verkehr und Nachrich- tenübermittlung, und danach für die Periode von 2005 bis 2010 auf die Ta- belle T1.1.05, Nominallohnindex, Männer, Zeile I: Verkehr und Nachrich- tenübermittlung, abstellte. Vielmehr kann für die Periode von 1993 bis 2010 durchgehen die Tabelle T1.1.93, Nominallohnindex, Männer, Zeile I: Ver- kehr und Nachrichtenübermittlung (100 [1993], 119.9 [2010]) herangezogen werden. Für die Periode von 2010 bis 2016 ist mit Blick auf die branchen- spezifische Indexierung sodann die Tabelle T1.10, Nominallohnindex, Zeile H: Post- Kurier- und Expressdienste (2010: 100, 2016: 104.7) heranzuzie- hen. Die Tabelle T1.1.10, Nominallohnindex, Männer, ist betreffend die Branche (Verkehr und Lagerei) im Vergleich dazu für den vorliegenden Fall unspezifischer und daher hier nicht zu berücksichtigen. Insgesamt resultiert für das Jahr 2016 ein versicherter Verdienst von Fr. 51‘403.40 (Fr. 26‘851.90 / 1143 x 1743 / 100 x 119.9 / 100 x 104.7). Demnach ist die Beschwerde insoweit gutzuheissen, als der versicherte Verdienst auf Fr. 51‘403.40 zu erhöhen ist. 7. Insgesamt ist die Beschwerde teilweise gutzuheissen und die Sache an die Beschwerdegegnerin zurückzuweisen, damit sie über den Renten- anspruch auf der Basis des höheren versicherten Verdienstes (vgl. E. 6 hiervor) neu verfüge. Im Übrigen ist die Beschwerde abzuweisen.</w:t>
      </w:r>
    </w:p>
    <w:p>
      <w:r>
        <w:t>Urteil des Verwaltungsgerichts des Kantons Bern vom 20. Aug. 2018, UV/17/914, Seite 12 8. 8.1 Verfahrenskosten sind in Anwendung von Art. 1 Abs. 1 UVG in Ver- bindung mit Art. 61 lit. a ATSG keine zu erheben. 8.2 Nach der Rechtsprechung hat die beschwerdeführende Partei bei teilweisem Obsiegen mindestens Anspruch auf eine reduzierte Parteien- tschädigung (BGE 110 V 54 E. 3a S. 57; SVR 2003 EL Nr. 5 S. 14 E. 4.1). Gemäss der Praxis des Verwaltungsgerichts wird der Parteikostenersatz bei gemeinnützig tätigen Rechtsberatungsstellen sowie Rechtsschutzversi- cherungen, Gewerkschaften und Berufsverbänden aufgrund eines allge- meingültigen pauschalisierten Stundenansatzes festgesetzt, welcher im konkreten Fall mit dem gebotenen Aufwand multipliziert wird. Der Stunden- ansatz wird je nach fachlicher Qualifikation der Vertretung festgelegt, wobei als fachlich qualifizierte Vertretung diejenige durch Juristinnen und Juristen sowie durch eidgenössisch diplomierte Sozialversicherungsexpertinnen und -experten gilt. Als fachlich nicht qualifizierte Vertretung gelten alle übri- gen Parteivertreterinnen und -vertreter (vgl. Rundschreiben der Sozialver- sicherungsrechtlichen Abteilung und der Abteilung für französischsprachige Geschäfte des Verwaltungsgerichts des Kantons Bern vom 16. Dezember 2009, abrufbar unter www.justice.be.ch). Im Falle der Vertretung durch Rechtsschutzversicherungen, Gewerkschaften und Berufsverbände wird der Stundenansatz bei einer fachlich qualifizierten Vertretung auf Fr. 180.-- und bei einer fachlich nicht qualifizierten Vertretung auf Fr. 100.-- festge- legt. Der Beschwerdeführer wird durch lic. iur. G.________ von der B.________ vertreten. Mit Kostennote vom 10. Januar 2018 macht lic. iur. G.________ einen zeitlichen Aufwand von insgesamt 6.5 Stunden sowie eine Spesen- pauschale von Fr. 35.-- geltend. Unter Berücksichtigung der vorliegend fachlich qualifizierten Vertretung sowie des hälftigen Obsiegens ist die Par- teientschädigung auf Fr. 585.-- (6.5h x Fr. 180.-- / 2) zuzüglich der geltend gemachten und nicht zu beanstandenden Spesenpauschale von Fr. 35.--, insgesamt Fr. 620.--, festzusetzen. Diesen Betrag hat die Beschwerdegeg- nerin dem Beschwerdeführer zu ersetzen.</w:t>
      </w:r>
    </w:p>
    <w:p>
      <w:r>
        <w:t>Urteil des Verwaltungsgerichts des Kantons Bern vom 20. Aug. 2018, UV/17/914, Seite 13 Demnach entscheidet das Verwaltungsgericht: 1. In teilweiser Gutheissung der Beschwerde wird der Einspracheent- scheid der Suva vom 18. September 2017 insoweit aufgehoben, als der versicherte Verdienst Fr. 51‘403.40 beträgt und gestützt darauf die Ren- te neu festzusetzen ist. Die Sache wird zur neuen Berechnung des Rentenbetrags an die Verwaltung zurückgewiesen. Im Übrigen wird die Beschwerde abgewiesen. 2. Es werden keine Verfahrenskosten erhoben. 3. Die Beschwerdegegnerin hat dem Beschwerdeführer einen Teil der Parteikosten, gerichtlich bestimmt auf Fr. 620.-- (inkl. Auslagen), zu er- setzen. 4. Zu eröffnen (R): - B.________ z.H. des Beschwerdeführers - Rechtsanwältin lic. iur. C.________ z.H. der Beschwerdegegnerin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w:t>
      </w:r>
    </w:p>
    <w:p>
      <w:r>
        <w:t>Urteil des Verwaltungsgerichts des Kantons Bern vom 20. Aug. 2018, UV/17/914, Seite 4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Abs. 2 ATSG). Da auch die Bestimmungen über Frist (Art. 60 ATSG) sowie Form (Art. 61 lit. b ATSG; Art. 81 Abs. 1 i.V.m. Art. 32 des kantonalen Gesetzes vom 23. Mai 1989 über die Verwaltungsrechts- pflege [VRPG; BSG 155.21]) eingehalten sind, ist auf die Beschwerde ein- 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