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827 vom 20. Juli 2017</w:t>
      </w:r>
    </w:p>
    <w:p>
      <w:r>
        <w:t>BE Verwaltungsgericht, 2017-07-20, DE</w:t>
      </w:r>
    </w:p>
    <w:p>
      <w:r>
        <w:rPr>
          <w:b/>
        </w:rPr>
        <w:t xml:space="preserve">Quelle: </w:t>
      </w:r>
      <w:r>
        <w:t>https://mcp.opencaselaw.ch/entscheid/be_verwaltungsgericht_200_2017_827</w:t>
      </w:r>
    </w:p>
    <w:p>
      <w:r>
        <w:t>FR: BE_VERWALTUNGSGERICHT 200 2017 827 du 20 juillet 2017</w:t>
      </w:r>
    </w:p>
    <w:p>
      <w:r>
        <w:t>IT: BE_VERWALTUNGSGERICHT 200 2017 827 del 20 luglio 2017</w:t>
      </w:r>
    </w:p>
    <w:p>
      <w:pPr>
        <w:pStyle w:val="Heading2"/>
      </w:pPr>
      <w:r>
        <w:t>Regeste</w:t>
      </w:r>
    </w:p>
    <w:p>
      <w:r>
        <w:t>Einspracheentscheid vom 20. Juli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Ju- li 2017 (AB 129 – 135). Streitig und zu prüfen ist die Reduktion des versi- cherten Verdienstes von Fr. 8‘861.-- auf Fr. 6‘203.-- ab 1. Dezember 2016 (AB 132) sowie die daraus resultierende Rückforderung von zu viel bezahl-</w:t>
      </w:r>
    </w:p>
    <w:p>
      <w:r>
        <w:t>Urteil des Verwaltungsgerichts des Kantons Bern vom 24. April 2018, ALV/17/827, Seite 4 ten Leistungen in der Höhe von Fr. 7‘185.-- für den Zeitraum von Dezem- ber 2016 bis April 2017 (AB 134 und 147). Soweit der Beschwerdeführer die Ausrichtung der Taggelder ab 1. Dezem- ber 2017 auf der Basis eines versicherten Verdienstes von Fr. 8‘861.-- ver- langt, ist darauf mangels Rechtsschutzinteresse nicht einzutreten. Dem Beschwerdeführer wurden die entsprechenden Taggelder für die Kontroll- perioden Dezember 2016 bis April 2017 offenkundig bereits ausbezahlt (AB 49 – 53) und die Taggelder der darauffolgenden Kontrollperioden bil- den nicht Gegenstand des angefochtenen Einspracheentscheids vom 20. Juli 2017 (AB 129 – 135; vgl. BGE 131 V 164 E. 2.1 S. 164). Eine Neu- berechnung der Taggelder ab der Kontrollperiode Mai 2017, wäre allenfalls durch die Beschwerdegegnerin, wie bereits angekündigt (AB 103), nach Eintritt der Rechtskraft dieses Urteils zu prüfen.</w:t>
      </w:r>
    </w:p>
    <w:p>
      <w:r>
        <w:rPr>
          <w:b/>
        </w:rPr>
        <w:t>E. 1.3</w:t>
      </w:r>
    </w:p>
    <w:p>
      <w:r>
        <w:t>Umstritten ist die Rückforderung in der Höhe von Fr. 7‘185.--. Der Streitwert liegt daher unter Fr. 20'000.--,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Arbeitslosentschädigung wird als Taggeld ausgerichtet (Art. 21 AVIG). Ein volles Taggeld beträgt 70 oder 80% des versicherten Verdiens- tes (Art. 22 AVIG). 2.2 Als versicherter Verdienst gilt der im Sinne der AHV-Gesetzgebung massgebende Lohn, der während eines Bemessungszeitraumes aus einem oder mehreren Arbeitsverhältnissen normalerweise erzielt wurde; einge- schlossen sind die vertraglich vereinbarten regelmässigen Zulagen, soweit sie nicht Entschädigung für arbeitsbedingte Inkonvenienzen darstellen (Art. 23 Abs. 1 AVIG; BGE 129 V 105 E. 1 S. 106).</w:t>
      </w:r>
    </w:p>
    <w:p>
      <w:r>
        <w:t>Urteil des Verwaltungsgerichts des Kantons Bern vom 24. April 2018, ALV/17/827, Seite 5 Nach Art. 37 Abs. 1 AVIV bemisst sich der versicherte Verdienst nach dem Durchschnittslohn der letzten sechs Beitragsmonate vor Beginn der Rah- menfrist für den Leistungsbezug. Er bemisst sich gemäss Abs. 2 nach dem Durchschnittslohn der letzten zwölf Beitragsmonate vor Beginn der Rah- menfrist für den Leistungsbezug, wenn dieser Durchschnittslohn höher ist als derjenige nach Abs. 1. Als versicherter Verdienst gilt der im Sinne der AHV-Gesetzgebung massgebende Lohn, der während eines Bemessungs- zeitraumes aus einem oder mehreren Arbeitsverhältnissen normalerweise erzielt wurde; eingeschlossen sind die vertraglich vereinbarten regelmässi- gen Zulagen, soweit sie nicht Entschädigung für arbeitsbedingte Inkonveni- enzen darstellen (Art. 23 Abs. 1 AVIG; BGE 129 V 105 E. 1 S. 106). 2.3 Gemäss Art. 40b AVIV ist bei Versicherten, die unmittelbar vor oder während der Arbeitslosigkeit eine gesundheitsbedingte Beeinträchtigung ihrer Erwerbsfähigkeit erleiden, der Verdienst massgebend, welcher der verbleibenden Erwerbsfähigkeit entspricht. Dabei ist nicht die Arbeitsun- fähigkeit in einer Verweistätigkeit, sondern die als dauernde Erwerbsun- fähigkeit umschriebene Invalidität im Sinne des Art. 8 ATSG massgebend (BGE 140 V 89 E. 5.2 S. 92). In diesen Fällen ist für die Bestimmung des versicherten Verdienstes jener Lohn massgebend, den die versicherte Per- son vor der gesundheitsbedingten Beeinträchtigung während eines be- stimmten Zeitraums tatsächlich erzielt hat, wobei das entsprechende Ein- kommen mit dem Faktor zu multiplizieren ist, der sich aus der Differenz zwischen 100% und dem Invaliditätsgrad ergibt (BGE 132 V 357 E. 3.2.4.3 S. 361). Dies gilt insbesondere auch in jenen Fällen, in denen die versi- cherte Person einen Invaliditätsgrad von weniger als 40 % aufweist und demzufolge im Rahmen der Eidgenössischen IV nicht rentenberechtigt ist. Auch in diesen Fällen ist die verbleibende Erwerbsfähigkeit reduziert, wes- halb es zu verhindern gilt, dass die Arbeitslosenentschädigung gestützt auf einen Verdienst ermittelt wird, den die versicherte Person gar nicht mehr erzielen könnte (BGE 140 V 89 E. 5.1 S. 91, 133 V 524 E. 5.2 f. S. 527). Eine Anpassung des versicherten Verdienstes gemäss Art. 40b AVIV ist jedoch nur vorzunehmen, wenn sich die gesundheitsbedingte Beeinträchti- gung der Erwerbsfähigkeit (noch) nicht im Lohn niedergeschlagen hat, wel- cher gemäss Art. 23 Abs. 1 AVIG in Verbindung mit Art. 37 AVIV Bemes-</w:t>
      </w:r>
    </w:p>
    <w:p>
      <w:r>
        <w:t>Urteil des Verwaltungsgerichts des Kantons Bern vom 24. April 2018, ALV/17/827, Seite 6 sungsgrundlage für den versicherten Verdienst bildet (BGE 135 V 185 E. 7.2 S. 191). 2.4 Der Invaliditätsbemessung der IV ist gegenüber andern Sozialversi- cherern der Vorrang einzuräumen, weshalb der Beeinträchtigung der Er- werbsfähigkeit im Sinne von Art. 40b AVIV der durch die IV ermittelte Inva- liditätsgrad zugrunde zu legen ist (BGE 142 V 380 E. 3.3.2 S. 383; SVR 2014 ALV Nr. 13 S. 41 E. 5.2). Art. 40b AVIV gelangt jedoch nicht zur An- wendung, wenn die Erwerbsunfähigkeit unter 10% liegt (BGE 140 V 89 E. 5.4.2 S. 96). 3. 3.1 Unbestritten und nicht zu beanstanden ist der vom Beschwerde- gegner ursprünglich festgesetzte versicherte Verdienst von Fr. 8‘861.-- (Jahreslohn von Fr. 106‘335.60 ./.12) sowie der Beginn der Rahmenfrist ab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