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731 vom 12. Dezember 2017</w:t>
      </w:r>
    </w:p>
    <w:p>
      <w:r>
        <w:t>BE Verwaltungsgericht, 2017-12-12, DE</w:t>
      </w:r>
    </w:p>
    <w:p>
      <w:r>
        <w:rPr>
          <w:b/>
        </w:rPr>
        <w:t xml:space="preserve">Quelle: </w:t>
      </w:r>
      <w:r>
        <w:t>https://mcp.opencaselaw.ch/entscheid/be_verwaltungsgericht_200_2017_731</w:t>
      </w:r>
    </w:p>
    <w:p>
      <w:r>
        <w:t>FR: BE_VERWALTUNGSGERICHT 200 2017 731 du 12 décembre 2017</w:t>
      </w:r>
    </w:p>
    <w:p>
      <w:r>
        <w:t>IT: BE_VERWALTUNGSGERICHT 200 2017 731 del 12 dicembre 2017</w:t>
      </w:r>
    </w:p>
    <w:p>
      <w:pPr>
        <w:pStyle w:val="Heading2"/>
      </w:pPr>
      <w:r>
        <w:t>Regeste</w:t>
      </w:r>
    </w:p>
    <w:p>
      <w:r>
        <w:t>Verfügung vom 27. Juli 2017</w:t>
      </w:r>
    </w:p>
    <w:p>
      <w:pPr>
        <w:pStyle w:val="Heading2"/>
      </w:pPr>
      <w:r>
        <w:t>Erwägungen</w:t>
      </w:r>
    </w:p>
    <w:p>
      <w:r>
        <w:rPr>
          <w:b/>
        </w:rPr>
        <w:t>E. 1.1</w:t>
      </w:r>
    </w:p>
    <w:p>
      <w:r>
        <w:t>Der angefochtene Entscheid ist in Anwendung von Sozialver- sicherungsrecht ergangen. Die Sozialversicherungsrechtliche Abteilung des Verwaltungsgerichts beurteilt gemäss Art. 57 des Bundesgesetzes vom</w:t>
      </w:r>
    </w:p>
    <w:p>
      <w:r>
        <w:rPr>
          <w:b/>
        </w:rPr>
        <w:t>E. 1.2</w:t>
      </w:r>
    </w:p>
    <w:p>
      <w:r>
        <w:t>Anfechtungsobjekt bildet die Verfügung vom 27. Juli 2017 (act. II 201). Streitig und zu prüfen ist einzig der Anspruch auf Arbeitsver- mittlung (Beschwerde, S. 2). Soweit in dieser Verfügung weitere Ansprüche auf berufliche Massnahmen abgewiesen wurden, ist sie mangels Anfech- tung in Rechtskraft erwachsen (BGE 125 V 413 E. 1b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Die versicherte Person hat in der Regel nur Anspruch auf die dem jeweiligen Eingliede- rungszweck angemessenen, notwendigen Massnahmen, nicht aber auf die nach den gegebenen Umständen bestmöglichen Vorkehren (vgl. Art. 8 Abs. 1 IVG). Das Gesetz will die Eingliederung lediglich so weit sicherstel- len, als diese im Einzelfall notwendig, aber auch genügend ist (BGE 139 V 115 E. 5.1 S. 118; SVR 2016 IV Nr. 10 S. 31 E. 4.1). Arbeitsunfähige Versicherte, welche eingliederungsfähig sind, haben An- spruch auf aktive Unterstützung bei der Suche eines geeigneten Arbeits- platzes und begleitende Beratung im Hinblick auf die Aufrechterhaltung ihres Arbeitsplatzes (Arbeitsvermittlung; Art. 18 Abs. 1 IVG).</w:t>
      </w:r>
    </w:p>
    <w:p>
      <w:r>
        <w:t>Urteil des Verwaltungsgerichts des Kantons Bern vom 12. Dez. 2017, IV/17/731, Seite 5 2.2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 3.1 Zu prüfen ist allein der Anspruch auf Arbeitsvermittlung (E. 1.2 hier- vor). Mit Mitteilung vom 14. Juli 2016 (act. II 179) wurde Arbeitsvermittlung gewährt, indem 20 Coachings in der Zeit vom 5. Juli 2016 bis zum 4. Janu- ar 2017 zugesprochen wurden. Im Rahmen der Arbeitsvermittlung wurden ein Lebenslauf und Bewerbungsschreiben erarbeitet (act. II 191 S. 2 ff.) sowie gemäss Bericht des Coachs vom 8. Mai 2017 (act. II 193 S. 1) 90 Bewerbungen erstellt und versendet. Daraufhin hat die Beschwerdegegne- rin die Arbeitsvermittlung mit vorliegend angefochtener Verfügung vom 27. Juli 2017 (act. II 201) abgeschlossen. Das zuvor gewährte Belastbar- keits- sowie das Aufbautraining (act. II 150 f. und 167; vgl. Berichte der Abklärungsstelle C.________ vom 10. Februar und 16. August 2016 [act. II</w:t>
      </w:r>
    </w:p>
    <w:p>
      <w:r>
        <w:t>Urteil des Verwaltungsgerichts des Kantons Bern vom 12. Dez. 2017, IV/17/731, Seite 6 169 und 181]) sind praxisgemäss nicht Teil der Arbeitsvermittlung, sondern stellen Integrationsmassnahmen zur Vorbereitung auf die berufliche Ein- gliederung dar (Anhang 1 des Kreisschreibens über die Integrationsmass- nahmen [KSIM], Stand 1. Januar 2017). 3.2 Der medizinisch massgebende Sachverhalt ergibt sich aus dem bidisziplinären Gutachten der Dres. med. D.________, Facharzt für Psych- iatrie und Psychotherapie, und E.________, Facharzt für Orthopädische Chirurgie und Traumatologie des Bewegungsapparates, vom 3. Febru- ar 2015 (act. IIA 129.1). Mit Auswirkung auf die Arbeitsfähigkeit wurden ein chronisches panvertebrales Schmerzsyndrom ohne radikuläre Symptoma- tik (ICD-10 M54.80), ein Verdacht auf subakromiales Impingement der Schulter beidseits (ICD-10 M75.4) sowie eine leichte depressive Episode (ICD-10 F32.0) diagnostiziert (act. IIA 129.1 S. 26 Ziff. 5.1). Aus orthopädi- scher Sicht könne aufgrund der objektiven Befunde eine leicht verminderte Belastbarkeit der Wirbelsäule und der oberen Extremitäten nachvollzogen werden, sodass keine körperlich schweren Tätigkeiten mehr zumutbar sei- en. Für körperlich leichte bis mittelschwere, wechselbelastende Tätigkeiten ohne wiederholtes Heben und Tragen von Lasten über 15kg und ohne wie- derholten Einsatz der oberen Extremitäten oberhalb des Schulterniveaus bestehe hingegen eine uneingeschränkte Arbeits- und Leistungsfähigkeit. Aus psychiatrischer Sicht könne auf affektiver Ebene eine leichte depressi- ve Episode bestätigt werden, dies bei einer im Verlauf rezidivierenden de- pressiven Störung. Im Hintergrund könne eine Zwangsstörung mit vorwie- gend Zwangshandlungen im Sinne eines Waschzwangs zugeordnet wer- den. Die somatisch nicht ausreichend erklärbaren Befunde für die multiplen subjektiven Beschwerden, Schmerzen und subjektiven Limitierungen seien einer undifferenzierten Somatisierungsstörung zuzuordnen. Die Schmerz- störung sei überwindbar und beeinflusse die Arbeitsfähigkeit nicht. Auf- grund der rezidivierenden depressiven Störung sei die Belastbarkeit im Längsverlauf leicht vermindert, dies im Sinne einer Einschränkung in der Arbeitsfähigkeit von 20%. Zusammenfassend resultiere aus bidisziplinärer Sicht für körperlich leichte bis mittelschwere, wechselbelastende Tätigkei- ten eine 80%ige Arbeits- und Leistungsfähigkeit. Das Pensum könne voll- schichtig mit leicht erhöhtem Pausenbedarf und leicht reduziertem Rende- ment umgesetzt werden (act. IIA 129.1 S. 27).</w:t>
      </w:r>
    </w:p>
    <w:p>
      <w:r>
        <w:t>Urteil des Verwaltungsgerichts des Kantons Bern vom 12. Dez. 2017, IV/17/731, Seite 7 3.3 Wie bereits im Urteil IV/2016/118, E. 3.3 (act. II 178), festgestellt und vom Bundesgericht bestätigt (BGer 8C_526/2016, E. 5 [act. II 188]), erfüllt das Gutachten vom 3. Februar 2015 (act. IIA 129.1) die von der Rechtsprechung an medizinische Expertisen gestellten Anforderungen (vgl. E. 2.2 hiervor). Dem ist nichts beizufügen. Aus dem Gutachten vom 3. Februar 2015 geht hervor, dass die diagnosti- zierte leichte depressive Störung eine Einschränkung der Arbeitsfähigkeit von 20% bewirkt (act. IIA 129.1 S. 18 Ziff. 3.5 und 27 unten); eine seither eingetretene Änderung des Sachverhalts ist nicht erstellt und wird von der Beschwerdeführerin denn auch nicht geltend gemacht. Da hier offensicht- lich keine Therapieresistenz vorliegt, stellt diese leichte depressive Störung keinen invalidisierenden Gesundheitsschaden dar (SVR 2017 IV Nr. 28 E. 5.3.1 S. 82). In der Folge ist die Einschränkung der Arbeitsfähigkeit von 20% invalidenversicherungsrechtlich nicht zu berücksichtigen, weshalb eine vollständige Arbeitsfähigkeit in einer leidensangepassten Tätigkeit, das heisst für leichte bis mittelschwere Arbeiten (act. IIA 129.1 S. 25 Ziff. 4.5 und S. 27 Mitte), besteht. Bei einer vollständigen Arbeitsfähigkeit in leichten Tätigkeiten – wie hier – ist praxisgemäss eine spezifische Ein- schränkung gesundheitlicher Art Voraussetzung für den Anspruch auf Ar- beitsvermittlung (MEYER/REICHMUTH, Bundesgesetz über die Invalidenver- sicherung, 3. Aufl. 2014, Art. 18 N 6). Derartige Einschränkungen sind vor- liegend nicht ersichtlich. Besteht von vornherein kein Anspruch auf Arbeits- vermittlung, ist auch eine Verlängerung ausgeschlossen. Angesichts dieses Verfahrensausgangs kann somit offenbleiben, ob hier die Fortführung der Arbeitsvermittlung verhältnismässig wäre oder nicht. 3.4 Nach dem Dargelegten hat die Beschwerdegegnerin (auch) den Anspruch auf Arbeitsvermittlung mit Verfügung vom 27. Juli 2017 (act. II 201) zu Recht abgewiesen. Die Beschwerde ist abzuweisen. 4. 4.1 Gemäss Art. 69 Abs. 1bis IVG ist das Beschwerdeverfahren vor dem kantonalen Versicherungsgericht in Streitigkeiten um die Bewilligung oder Verweigerung von IV-Leistungen kostenpflichtig. Die Kosten sind nach dem</w:t>
      </w:r>
    </w:p>
    <w:p>
      <w:r>
        <w:t>Urteil des Verwaltungsgerichts des Kantons Bern vom 12. Dez. 2017, IV/17/731, Seite 8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4.2 Bei diesem Ausgang des Verfahrens hat die Beschwerdeführerin keinen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Die Gerichtsschreiberin:</w:t>
      </w:r>
    </w:p>
    <w:p>
      <w:r>
        <w:t>Urteil des Verwaltungsgerichts des Kantons Bern vom 12. Dez. 2017, IV/17/731, Seite 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12. Dez. 2017, IV/17/731, Seite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