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1013 vom 15. Februar 2018</w:t>
      </w:r>
    </w:p>
    <w:p>
      <w:r>
        <w:t>BE Verwaltungsgericht, 2018-02-15, DE</w:t>
      </w:r>
    </w:p>
    <w:p>
      <w:r>
        <w:rPr>
          <w:b/>
        </w:rPr>
        <w:t xml:space="preserve">Quelle: </w:t>
      </w:r>
      <w:r>
        <w:t>https://mcp.opencaselaw.ch/entscheid/be_verwaltungsgericht_200_2017_1013</w:t>
      </w:r>
    </w:p>
    <w:p>
      <w:r>
        <w:t>FR: BE_VERWALTUNGSGERICHT 200 2017 1013 du 15 février 2018</w:t>
      </w:r>
    </w:p>
    <w:p>
      <w:r>
        <w:t>IT: BE_VERWALTUNGSGERICHT 200 2017 1013 del 15 febbraio 2018</w:t>
      </w:r>
    </w:p>
    <w:p>
      <w:pPr>
        <w:pStyle w:val="Heading2"/>
      </w:pPr>
      <w:r>
        <w:t>Regeste</w:t>
      </w:r>
    </w:p>
    <w:p>
      <w:r>
        <w:t>Einspracheentscheid vom 17. Oktober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17. Oktober 2017 (AB 42 ff.). Streitig und zu prüfen ist die Anspruchsberechtigung des Beschwerdeführers auf Arbeitslosenentschädigung ab dem 3. Juli 2017.</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 2.2 Nach Art. 31 Abs. 1 AVIG haben Arbeitnehmer, deren normale Ar- beitszeit verkürzt oder deren Arbeit ganz eingestellt ist, Anspruch auf Kurz- arbeitsentschädigung, wenn sie bestimmte, in lit. a bis d näher umschrie- bene Voraussetzungen erfüllen. Keinen Anspruch auf Kurzar- beitsentschädigung haben gemäss Art. 31 Abs. 3 lit. c AVIG jene Perso- nen, die in ihrer Eigenschaft als Gesellschafter, als finanziell am Betrieb Beteiligte oder als Mitglieder eines obersten betrieblichen Entscheidungs-</w:t>
      </w:r>
    </w:p>
    <w:p>
      <w:r>
        <w:t>Urteil des Verwaltungsgerichts des Kantons Bern vom 15. Feb. 2018, ALV/17/1013, Seite 5 gremiums die Entscheidungen des Arbeitgebers bestimmen oder massge- blich beeinflussen können, sowie ihre mitarbeitenden Ehegatten. 2.3 Gemäss ständiger Rechtsprechung ist Art. 31 Abs. 3 lit. c AVIG analog auf arbeitgeberähnliche Personen sowie ihre mitarbeitenden Ehe- gatten anwendbar, welche Arbeitslosenentschädigung beanspruchen (BGE 142 V 263 E. 4.1 S. 266 und E. 5.2 S. 268, 133 V 133 E. 2.4.2 S. 135). Denn Kurzarbeit kann nicht allein in einer Reduktion der täglichen, wöchentlichen oder monatlichen Arbeitszeit, sondern auch darin bestehen, dass ein Betrieb (bei fortbestehendem Arbeitsverhältnis) für eine gewisse Zeit vollständig stillgelegt wird (100%ige Kurzarbeit). In einem solchen Fall ist ein Arbeitnehmer mit arbeitgeberähnlicher Stellung nicht anspruchsbe- rechtigt. Wird das Arbeitsverhältnis jedoch gekündigt, liegt Ganzarbeitslo- sigkeit vor, und es besteht unter den Voraussetzungen von Art. 8 ff. AVIG grundsätzlich Anspruch auf Entschädigung. Dabei kann nicht von einer Gesetzesumgehung gesprochen werden, wenn der Betrieb geschlossen wird, das Ausscheiden des betreffenden Arbeitnehmers mithin definitiv ist. Entsprechendes gilt für den Fall, dass das Unternehmen zwar weiterbe- steht, der Arbeitnehmer aber mit der Kündigung endgültig auch jene Eigen- schaft verliert, deretwegen er bei Kurzarbeit aufgrund von Art. 31 Abs. 3 lit. c AVIG vom Anspruch auf Kurzarbeitsentschädigung ausgenommen wäre. Eine grundsätzlich andere Situation liegt jedoch dann vor, wenn der Arbeit- nehmer nach der Entlassung seine arbeitgeberähnliche Stellung im Betrieb beibehält und dadurch die Entscheidungen des Arbeitgebers weiterhin be- stimmen oder massgeblich beeinflussen kann (BGE 123 V 234 E. 7b bb S. 238). Diese Rechtsprechung will nicht nur dem ausgewiesenen Missbrauch an sich begegnen, sondern bereits dem Risiko eines solchen, das der Ausrich- tung von Arbeitslosenentschädigung an arbeitgeberähnliche Personen und deren Ehegatten inhärent ist (BGE 142 V 263 E. 4.1 S. 266 und E. 5.3 S. 270; ARV 2011 S. 242 E. 5.1; SVR 2007 ALV Nr. 21 S. 69 E. 3.1).</w:t>
      </w:r>
    </w:p>
    <w:p>
      <w:r>
        <w:t>Urteil des Verwaltungsgerichts des Kantons Bern vom 15. Feb. 2018, ALV/17/1013, Seite 6 3. 3.1 Es ist unbestritten und aufgrund der Akten erstellt, dass dem Be- schwerdeführer per 30. Juni 2017 gekündigt wurde (AB 117). Seine Ehe- frau ist seit dem 13. Juni 2017 als Gesellschafterin und Geschäftsführerin mit Einzelzeichnungsbefugnis der B.________ GmbH im Handelsregister eingetragen (20 Stammanteile zu je Fr. 1‘000.--). Soweit der Beschwerde- führer vorbringt, dass die Gesellschaft überschuldet sowie vermögens- und auftragslos ist, ist darauf hinzuweisen, dass der Zustand der Liquidation nicht im Handelsregister eingetragen und die Gesellschaft damit nach wie vor vollumfänglich aktiv und handlungsfähig ist (vgl. Handelsregisterauszug vom 9. Oktober 2017; AB 48 ff.). Als einzelzeichnungsberechtigte Gesell- schafterin und Geschäftsführerin gilt die Ehefrau des Beschwerdeführers als arbeitgeberähnliche Person (BGE 123 V 234 E. 7b bb S. 238; bestätigt mit Entscheid des Bundesgerichts [BGer] vom 13. Januar 2010, 8C_664/2009, E. 2). 3.2 Die Beschlussfassung der Gesellschaftsversammlung vom 3. Juli 2017 betreffend Auflösung der B.________ GmbH (AB 28) sowie die Kün- digung der Geschäftsräumlichkeiten per Ende Februar 2018 (AB 30 f.) be- legen den Willen zum endgültigen Ausscheiden aus dem Betrieb nicht rechtsgenüglich. Das Ausscheiden aus der Firma muss endgültig sein und anhand eindeutiger Kriterien feststehen. Die Rechtsprechung hat wieder- holt darauf abgestellt, ob der Eintrag der betreffenden Person im Handels- register gelöscht worden ist. Denn erst mit der Löschung des Eintrags ist das Ausscheiden der arbeitgeberähnlichen Person aus der Firma für aus- senstehende Dritte erkennbar. Als weiteres Kriterium für den Austritt aus der Firma wird der Konkurs genannt. Indessen ist zu beachten, dass die Gesellschaftsorgane während einer allfälligen Liquidation ihre gesetzlichen und statutarischen Befugnisse beibehalten, soweit sie zur Durchführung der Liquidation erforderlich sind und dem Liquidationszweck nicht entge- genstehen und die daraus abgeleiteten Handlungen ihrer Natur nach nicht von den Liquidatoren vorgenommen werden können. Dazu kann auch die Weiterführung des Geschäfts bis zu dessen Verkauf oder Auflösung gehören. Daher haben auch arbeitgeberähnliche Personen, die als Liquida- toren eingesetzt werden, während der Liquidation in der Regel keinen An-</w:t>
      </w:r>
    </w:p>
    <w:p>
      <w:r>
        <w:t>Urteil des Verwaltungsgerichts des Kantons Bern vom 15. Feb. 2018, ALV/17/1013, Seite 7 spruch auf Arbeitslosenentschädigung (Entscheid des Eidgenössischen Versicherungsgerichts [EVG; heute Bundesgericht] vom 3. April 2006, C 267/04, E. 4.2 mit Hinweisen). 3.3 Da Art. 31 Abs. 3 lit. c AVIG den mitarbeitenden Ehegatten eben- falls umfasst, entfällt beim Beschwerdeführer grundsätzlich der Anspruch auf Arbeitslosenentschädigung. Gemäss dem Kreisschreiben des seco über die AVIG-Praxis ALE vom Januar 2017 (AVIG-Praxis ALE, abrufbar unter: http://treffpunkt-arbeit.ch) gelten mitarbeitende Ehegatten oder Ehe- gattinnen, die aus dem Betrieb - welcher vom anderen Eheteil weitergeführt wird - ausgeschieden sind, erst dann als anspruchsberechtigt, wenn sie entweder mindestens eine sechsmonatige beitragspflichtige Beschäftigung nach Aufgabe der Tätigkeit im ehelichen Betrieb ausgeübt haben oder die Mindestbeitragszeit von 12 Monaten alleine ausserhalb des ehelichen Be- triebes erfüllen (vgl. AVIG-Praxis ALE B31 und Entscheid des EVG vom 31. März 2004, C 171/03, E. 2.3.2 und 2.3.3). Diese Voraussetzungen er- füllt der Beschwerdeführer nicht. Gemäss den Akten hat er nach dem Aus- tritt aus der B.________ GmbH keine sechsmonatige beitragspflichtige Beschäftigung aufgenommen oder die Mindestbeitragszeit von 12 Monaten ausserhalb des ehelichen Betriebes ebenfalls nicht erfüllt, was unbestritten bleibt. 3.4 Nach dem Dargelegten ist der Anspruch auf Arbeitslosenentschädi- gung zu verneinen. Da die Liquidation der B.________ GmbH nicht im Handelsregister eingetragen ist, ist ein Missbrauchsrisiko nach wie vor nicht ausgeschlossen (vgl. E. 2.3 hiervor). Der angefochtene Einspra- cheentscheid vom 17. Oktober 2017 (AB 42 ff.) erweist sich als rechtens. Die dagegen erhobene Beschwerde ist offensichtlich unbegründet und deshalb abzuweisen. 4. 4.1 In Anwendung von Art. 1 Abs. 1 AVIG i.V.m. Art. 61 lit. a ATSG sind keine Verfahrenskosten zu erheben.</w:t>
      </w:r>
    </w:p>
    <w:p>
      <w:r>
        <w:t>Urteil des Verwaltungsgerichts des Kantons Bern vom 15. Feb. 2018, ALV/17/1013, Seite 8 4.2 Bei diesem Verfahrensausgang besteht kein Anspruch auf eine Par- teientschädigung (Art. 1 Abs. 1 AVIG i.V.m. Art. 61 lit. g ATSG [Umkehr- schluss]). Demnach entscheidet das Verwaltungsgericht: 1. Die Beschwerde wird abgewiesen. 2. Es werden weder Verfahrenskosten erhoben noch eine Parteientschä- digung zugesprochen. 3. Zu eröffnen (R): - A.________ - beco Berner Wirtschaft, Arbeitslosenkasse - beco Berner Wirtschaft, Arbeitsvermittlung - Staatssekretariat für Wirtschaft - seco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w:t>
      </w:r>
    </w:p>
    <w:p>
      <w:r>
        <w:t>Urteil des Verwaltungsgerichts des Kantons Bern vom 15. Feb. 2018, ALV/17/1013, Seite 4 vom 31. August 1983 über die obligatorische Arbeitslosenversicherung und die Insolvenzentschädigung [AVIV; SR 837.02]). Da auch die Bestimmun- gen über Frist (Art. 60 ATSG) sowie Form (Art. 61 lit. b ATSG; Art. 81 Abs. 1 i.V.m. Art. 32 des kantonalen Gesetzes vom 23. Mai 1989 über die Ver- 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