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995 vom 16. Oktober 2017</w:t>
      </w:r>
    </w:p>
    <w:p>
      <w:r>
        <w:t>BE Verwaltungsgericht, 2017-10-16, DE</w:t>
      </w:r>
    </w:p>
    <w:p>
      <w:r>
        <w:rPr>
          <w:b/>
        </w:rPr>
        <w:t xml:space="preserve">Quelle: </w:t>
      </w:r>
      <w:r>
        <w:t>https://mcp.opencaselaw.ch/entscheid/be_verwaltungsgericht_200_2016_995</w:t>
      </w:r>
    </w:p>
    <w:p>
      <w:r>
        <w:t>FR: BE_VERWALTUNGSGERICHT 200 2016 995 du 16 octobre 2017</w:t>
      </w:r>
    </w:p>
    <w:p>
      <w:r>
        <w:t>IT: BE_VERWALTUNGSGERICHT 200 2016 995 del 16 ottobre 2017</w:t>
      </w:r>
    </w:p>
    <w:p>
      <w:pPr>
        <w:pStyle w:val="Heading2"/>
      </w:pPr>
      <w:r>
        <w:t>Regeste</w:t>
      </w:r>
    </w:p>
    <w:p>
      <w:r>
        <w:t>Einspracheentscheid vom 15. September 2016 (E 2860/15)</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1 ATSG). Da auch die Bestimmungen über Frist (Art. 60 ATSG) sowie Form (Art. 61 lit. b ATSG; Art. 81 Abs. 1 i.V.m. Art. 32 des kantonalen Gesetzes vom 23. Mai 1989 über die Verwaltungsrechts- pflege [VRPG; BSG 155.21]) eingehalten sind, ist – unter Vorbehalt der nachfolgenden Erwägung – auf die Beschwerde einzutreten.</w:t>
      </w:r>
    </w:p>
    <w:p>
      <w:r>
        <w:rPr>
          <w:b/>
        </w:rPr>
        <w:t>E. 1.2</w:t>
      </w:r>
    </w:p>
    <w:p>
      <w:r>
        <w:t>Anfechtungsobjekt bildet der Einspracheentscheid vom 15. Sep- tember 2016 (act. IIA 376). Streitig und zu prüfen ist der Anspruch auf Tag- geld bzw. eine Invalidenrente sowie eine Integritätsentschädigung im Zu- sammenhang mit dem Ereignis vom 19. Februar 2012. Soweit der Be- schwerdeführer beantragt, es sei festzustellen, dass ein verfrühter Fallab- schluss vorliegt (Rechtsbegehren Ziff. 2 lit. a), kann auf dieses Feststel- lungsbegehren zufolge der Subsidiarität gegenüber Leistungsbegehren</w:t>
      </w:r>
    </w:p>
    <w:p>
      <w:r>
        <w:t>Urteil des Verwaltungsgerichts des Kantons Bern vom 16. Okt. 2017, UV/16/995, Seite 5 nicht eingetreten werden (vgl. MERKLI/AESCHLIMANN/HERZOG, Kommentar zum bernischen VRPG, 1997, Art. 90 N. 2). Hinzu kommt, dass darin ein blosses Begründungselement für die anbegehrte Ausrichtung weiterer Taggeldleistungen im Rahmen des einheitlichen Streitgegenstandes (vgl. Entscheid des Bundesgerichts [BGer] vom 29. September 2015, 8C_170/2015, E. 4.2; Entscheid des BGer vom 28. Juni 2010, 8C_58/2010, E. 2.5) zu erblicken ist. Des Weiteren bezieht sich die Beurteilung der Leis- tungsansprüche auf den Grundfall bzw. den Rückfall vom 10. Februar 2014 (act. II 168). Die noch vor Erlass des Einspracheentscheids (act. IIA 376) am 10. August 2016 als erneuter Rückfall gemeldete Schädigung am «Fussgelenk» (richtig wohl: Schultergelenk links [act. IIA 346]) vom 11. Mai 2016 (act. IIA 368) ist hingegen grundsätzlich auszuklammern. Zwar er- streckt sich der gerichtliche Überprüfungshorizont bis zum angefochtenen Einspracheentscheid (vgl. BGE 131 V 242 E. 2.1 S. 243, 130 V 138 E. 2.1 S. 140), weil sich die Zulässigkeit des Fallabschlusses jedoch allein pro- spektiv beurteilt, ist die spätere Sachverhaltsentwicklung in diesem Kontext nicht entscheidend (vgl. E. 3.4.4 hiernach). Zudem hat die Beschwerde- gegnerin gestützt auf diese Rückfallmeldung bis zum 28. Februar 2017 wiederum Leistungen erbracht (act. IIA 375, 376/2 E. 1; act. I 4/1 Ziff. 2 lit. a). Soweit sich die Beschwerde auf darüber hinausgehende Leistungs- ansprüche im Zusammenhang mit diesem letzten Rückfall bezieht, betrifft dies das mittlerweile hängige separate Einspracheverfahren (act. I 4), wo- mit im vorliegenden Verfahren diesbezüglich ebenfalls ein Forumsver- schluss zu erfolgen hat. Schliesslich stellt das Subeventualbegehren (Ziff. 2 lit. c) – soweit damit ein Gerichtsgutachten verlangt wird – einen Beweisan- trag dar und die Rechtsbegehren Ziff. 3 und Ziff. 4 haben als Verfahrensan- träge ebenfalls keinen materiellen Gehalt.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Okt. 2017, UV/16/995, Seite 6</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2.2</w:t>
      </w:r>
    </w:p>
    <w:p>
      <w:r>
        <w:t>Der Anspruch auf Leistungen der obligatorischen Unfallversiche- rung setzt nebst anderem einen natürlichen und adäquaten Kausalzusam- menhang zwischen dem Unfall und dem eingetretenen Schaden voraus (BGE 129 V 177 E. 3.1 und 3.2 S. 181; SVR 2012 UV Nr. 2 S. 6 E. 3.1).</w:t>
      </w:r>
    </w:p>
    <w:p>
      <w:r>
        <w:rPr>
          <w:b/>
        </w:rPr>
        <w:t>E. 2.3</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t>Urteil des Verwaltungsgerichts des Kantons Bern vom 16. Okt. 2017, UV/16/995, Seite 7</w:t>
      </w:r>
    </w:p>
    <w:p>
      <w:r>
        <w:rPr>
          <w:b/>
        </w:rPr>
        <w:t>E. 2.4</w:t>
      </w:r>
    </w:p>
    <w:p>
      <w:r>
        <w:t>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140 V 356 E. 3.2 S. 358).</w:t>
      </w:r>
    </w:p>
    <w:p>
      <w:r>
        <w:rPr>
          <w:b/>
        </w:rPr>
        <w:t>E. 2.5</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137 V 199 E. 2.1 S. 201). Was unter einer namhaften Besserung des Gesundheitszustandes der versicherten Person zu verste- hen ist, umschreibt das Gesetz nicht näher. Mit Blick darauf, dass die sozi- ale Unfallversicherung ihrer Konzeption nach auf die erwerbstätigen Perso- nen ausgerichtet ist, wird sich dies namentlich nach Massgabe der zu er- 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 deutende Verbesserungen genügen nicht (BGE 134 V 109 E. 4.3 S. 115).</w:t>
      </w:r>
    </w:p>
    <w:p>
      <w:r>
        <w:rPr>
          <w:b/>
        </w:rPr>
        <w:t>E. 2.6</w:t>
      </w:r>
    </w:p>
    <w:p>
      <w:r>
        <w:t>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w:t>
      </w:r>
    </w:p>
    <w:p>
      <w:r>
        <w:t>Urteil des Verwaltungsgerichts des Kantons Bern vom 16. Okt. 2017, UV/16/995, Seite 8 und dazu Stellung zu nehmen, in welchem Umfang und bezüglich welcher Tätigkeiten die Versicherten arbeitsunfähig sind (BGE 132 V 93 E. 4 S. 99).</w:t>
      </w:r>
    </w:p>
    <w:p>
      <w:r>
        <w:rPr>
          <w:b/>
        </w:rPr>
        <w:t>E. 3.1</w:t>
      </w:r>
    </w:p>
    <w:p>
      <w:r>
        <w:t>Dass das in der Schadenmeldung (act. II 3) geschilderte Ereignis vom 19. Februar 2012 die kumulativen Tatbestandsvoraussetzungen des Unfallbegriffs gemäss Legaldefinition (vgl. E. 2.1 hiervor) erfüllt, ist zu Recht unbestritten.</w:t>
      </w:r>
    </w:p>
    <w:p>
      <w:r>
        <w:rPr>
          <w:b/>
        </w:rPr>
        <w:t>E. 3.2</w:t>
      </w:r>
    </w:p>
    <w:p>
      <w:r>
        <w:t>In medizinischer Hinsicht basiert der angefochtene Einspracheent- scheid vom 15. September 2016 (act. IIA 376) hauptsächlich (act. IIA 376/5 E. 5, 376/10 E. 7.2) auf dem Bericht des Spitals M.________ vom 15. April 2015 (act. IIA 297), der kreisärztlichen Abschlussuntersuchung vom 28. Mai 2015 (act. IIA 304) sowie der Beurteilung des Integritätsschadens durch den Suva-Kreisarzt vom 2. Juni 2015 (act. IIA 305).</w:t>
      </w:r>
    </w:p>
    <w:p>
      <w:r>
        <w:rPr>
          <w:b/>
        </w:rPr>
        <w:t>E. 3.2.1</w:t>
      </w:r>
    </w:p>
    <w:p>
      <w:r>
        <w:t>Der stellvertretende Chefarzt Dr. med. D.________, Facharzt für Orthopädische Chirurgie und Traumatologie des Bewegungsapparates, diagnostizierte im Bericht des Spitals M.________ vom 15. April 2015 (act. IIA 297) das Folgende: Status nach Schulterarthroskopie links mit intraartikulärem Débride- ment, Biopsie-Entnahme, Bizeps-Tenotomie, subakromialer Dekom- pression, Vervollständigung der tendinopathisch veränderten poste- ro-superioren Läsion der Rotatorenmanschette (RM) und Reinserti- on mit einer 5.5mm Corkscrew am 25. Februar 2014 bei  Status nach arthroskopischer RM-Rekonstruktion vom 16. März 2012 mit Re-Traumatisierung am 5. April 2013  subakromialer Infiltration am 18. Februar 2015 Dr. med. D.________ hielt unter anderem fest, trotz immer noch persistie- renden Schmerzen sei aktuell keine Operation oder Infiltration indiziert. Der Beschwerdeführer werde weiter Physiotherapie durchführen und habe ein Analgetika-Rezept erhalten; die Behandlung werde abgeschlossen.</w:t>
      </w:r>
    </w:p>
    <w:p>
      <w:r>
        <w:rPr>
          <w:b/>
        </w:rPr>
        <w:t>E. 3.2.2</w:t>
      </w:r>
    </w:p>
    <w:p>
      <w:r>
        <w:t>Der Suva-Kreisarzt Dr. med. E.________, Facharzt für Allgemeine Innere Medizin, vermerkte im Bericht vom 28. Mai 2015 (act. IIA 304) über die gleichentags durchgeführte Untersuchung als Diagnose eine Schulter- kontusion links mit subtotaler Ruptur der Supraspinatussehne. Er erklärte,</w:t>
      </w:r>
    </w:p>
    <w:p>
      <w:r>
        <w:t>Urteil des Verwaltungsgerichts des Kantons Bern vom 16. Okt. 2017, UV/16/995, Seite 9 das Ausmass der Einschränkungen könne aufgrund der erfolgten Verlet- zung und der Korrektureingriffe nicht vollumfänglich erklärt werden. Auf- grund der aktuellen Situation könne der versicherungsmedizinische Fallab- schluss vorgenommen werden. Tätigkeiten auf und über Schulterniveau seien mit der linken Schulter nicht mehr zumutbar. Unzumutbar seien ins- besondere belastende Arbeiten in körperferner Position mit dem linken Arm, forcierte Aussenrotationen und Abduktionen sowie Einwirkungen von Schlägen und Vibrationen auf die linke Schulter. Hingegen seien leichte bis maximal mittelschwere Tätigkeiten mit dem linken Arm auf Arbeitsniveau in ganztägigem Umfang möglich, ebenso könnten beidhändig Lasten von 20- 25kg getragen, nicht jedoch über Bauchniveau angehoben oder in körper- fernen Positionen gehalten werden. Den Integritätsschaden schätzte Dr. med. E.________ am 2. Juni 2015 anhand der Suva-Tabelle 1 (Integritätsschaden bei Funktionsstörungen an den oberen Extremitäten) mit der Begründung auf 15 %, dass im betroffe- nen Schultergelenk eine Beweglichkeit bis zur Horizontalen möglich sei (act. IIA 305).</w:t>
      </w:r>
    </w:p>
    <w:p>
      <w:r>
        <w:rPr>
          <w:b/>
        </w:rPr>
        <w:t>E. 3.3</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w:t>
      </w:r>
    </w:p>
    <w:p>
      <w:r>
        <w:t>Urteil des Verwaltungsgerichts des Kantons Bern vom 16. Okt. 2017, UV/16/995, Seite 10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w:t>
      </w:r>
    </w:p>
    <w:p>
      <w:r>
        <w:rPr>
          <w:b/>
        </w:rPr>
        <w:t>E. 3.4</w:t>
      </w:r>
    </w:p>
    <w:p>
      <w:r>
        <w:t>Die Beurteilungen des Suva-Kreisarztes erfüllen, zusammen mit den erwähnten Feststellungen des behandelnden Dr. med. D.________, die höchstrichterlichen Beweisanforderungen (vgl. E. 3.3 hiervor) und er- bringen vollen Beweis.</w:t>
      </w:r>
    </w:p>
    <w:p>
      <w:r>
        <w:rPr>
          <w:b/>
        </w:rPr>
        <w:t>E. 3.4.1</w:t>
      </w:r>
    </w:p>
    <w:p>
      <w:r>
        <w:t>Dr. med. E.________ stützte seine Schlussfolgerungen nicht nur auf die Erkenntnisse aus der durchgeführten klinischen Exploration, sondern ebenso auf die bildgebenden Befunde (act. II 29, 30 f.; act. IIA 274) sowie die weiteren Vorakten, welche auch den Vorzustand an der linken Schulter (SLAP-Läsion Typ II) nach einem bei der Beschwerdegegnerin versicherten Sturz im Jahr 2004 (act. II 14, 41/1, 42/5, 42/8) umfassen. Insbesondere mit den zahlreichen Berichten des Spitals M.________ (act. II 2, 11, 15, 20, 24, 33, 46, 54, 82, 90, 94, 108, 116, 139, 161, 181 f., 195, 208, 226; act. IIA 252, 282, 290, 297), den früheren kreisärztlichen Einschätzungen (act. II 42, 96 f., 111, 218) sowie der Zweitmeinung von Prof. Dr. med. F.________ (act. II 151), Facharzt für Orthopädische Chirurgie und Traumatologie des Bewegungsapparates, ist der gesamte Beschwerdeverlauf seit dem inkri- minierten Ereignis vom 19. Februar 2012 bis zur Abschlussuntersuchung vom 28. Mai 2015 lückenlos dokumentiert. Zwar wurden die zusätzlichen Zweitmeinungen bei Dr. med. G.________ (act. IIA 317) bzw. PD Dr. med. H.________ (act. IIA 366), beides Fachärzte für Orthopädische Chirurgie und Traumatologie des Bewegungsapparates, erst später eingeholt, daraus ergaben sich aber keine wesentlichen neuen Aspekte, die geeignet wären, die Beurteilung von Dr. med. E.________ in Zweifel zu ziehen. Wohl ortete Dr. med. G.________ zwei potentielle Schmerzquellen in der Supraspina- tussehne und dem Akromioklavikulargelenk (AC-Gelenk), welche MRI- mässig nicht ruhig seien, letztlich ging er aber von ätiologisch unklaren</w:t>
      </w:r>
    </w:p>
    <w:p>
      <w:r>
        <w:t>Urteil des Verwaltungsgerichts des Kantons Bern vom 16. Okt. 2017, UV/16/995, Seite 11 linksseitigen Schulterschmerzen aus (act. IIA 317). Diese Einschätzung korreliert mit jener von PD Dr. med. H.________, der die Ursache für die beklagten Schmerzen ebenfalls als nicht klar bezeichnete (act. IIA 366/2). Das von ihm empfohlene Arthro-MRI wurde am 22. September 2016 ange- fertigt (act. IIA 380, 381/1) und bestätigte im Wesentlichen die MRI- Befunde vom 13. Februar 2015 (act. IIA 274).</w:t>
      </w:r>
    </w:p>
    <w:p>
      <w:r>
        <w:rPr>
          <w:b/>
        </w:rPr>
        <w:t>E. 3.4.2</w:t>
      </w:r>
    </w:p>
    <w:p>
      <w:r>
        <w:t>Die gesamte medizinische Aktenlage präsentiert sich insoweit kohärent und widerspruchsfrei, als dass die relevanten Befunde bzw. Dia- gnosen unbestritten sind und nicht nur Dr. med. E.________ (act. IIA 304/7) sowie die beigezogenen Konsiliarärzte (act. II 151/2; act. IIA 317/1 366/2), sondern auch sämtliche anderen involvierten Ärzte das Ausmass der Einschränkungen anhand der klinischen Befunde nicht vollumfänglich zu erklären vermochten bzw. auf gewisse Diskrepanzen hinwiesen. So stellte Dr. med. D.________ bereits rund neun Monate nach der ersten Operation im Sprechstundenbericht vom 20. Dezember 2012 (act. II 54) fest, dass der Beschwerdeführer trotz perfekter Rekonstruktion und passiv freier Beweglichkeit über chronische Schmerzen und eine gestörte aktive Bewegung klage, für welche sich klinisch kein klares morphologisches Kor- relat oder eine anderweitige Ursache finden lasse (vgl. auch act. II 82/1). Dies bestätigte am 20. Juni 2013 auch der Suva-Kreisarzt Dr. med. I.________, Facharzt für Allgemeine Medizin und Chirurgie, wobei er gleichzeitig auf die auffallend seitengleiche Muskeltrophik der Ober- und Unterarme sowie die beidseits kräftig beschwielten Handflächen mit deutli- chen Arbeitsspuren hinwies (act. II 111/8). Im Nachgang zum zweiten Ein- griff vom 25. Februar 2014 (act. II 181) diagnostizierte Dr. med. I.________ im Rahmen der kreisärztlichen Untersuchung vom 24. Juli 2014 eine Ag- gravation bei Verdacht auf Schmerzverarbeitungsstörung, da er bei der aktiven Prüfung der Schulterbeweglichkeit ein sehr demonstrativ wirken- des, grotesk anmutendes Grimassieren mit Verwinden des Oberkörpers und Anspannen der gesamten Arm- sowie Handmuskulatur festgestellt hatte (act. II 218/7, 218/9). Seinen Verdacht, wonach eine Selbstlimitation vorliege (act. II 218/9), teilte am 28. August 2014 auch der behandelnde Dr. med. D.________ (act. II 220), der auch später auf die mit den klinischen Befunden nicht vereinbare Schmerzsymptomatik hinwies und selbst noch während des Einspracheverfahrens im August 2016 keine klare Pathologie</w:t>
      </w:r>
    </w:p>
    <w:p>
      <w:r>
        <w:t>Urteil des Verwaltungsgerichts des Kantons Bern vom 16. Okt. 2017, UV/16/995, Seite 12 finden konnte (act. IIA 371/1). Die im Rahmen der öffentlichen Schlussver- handlung eingereichten medizinischen Berichte (act. I 4/3 f., 5 f.) beschla- gen den Zeitraum nach dem Fallabschluss bzw. nach dem angefochtenen Einspracheentscheid vom 15. September 2016 (act. IIA 376) und sind be- reits deshalb prinzipiell nicht geeignet, den Beweiswert der kreisärztlichen Beurteilung vom 28. Mai 2015 (act. IIA 304) zu erschüttern (vgl. E. 1.2 hier- vor). Hinzu kommt, dass der Beschwerdeführer aus der darin erwähnten nozizeptiven und neuropathischen Schmerzkomponente bzw. der neu in Betracht gezogenen Allodynie ohnehin nichts zu seinen Gunsten ableiten könnte, denn eine Nervenschädigung ist medizinisch nicht ausgewiesen (vgl. Entscheide des BGer vom 4. April 2013, 8C_729/2012, E. 4.2, sowie vom 29. November 2012, 8C_833/2012, E. 4.2.3). Zwar ergab eine Allo- dynografie vom 9. Mai 2017 ein positives Ergebnis, dieses basiert aber allein auf den subjektiven Angaben des Beschwerdeführers (Schmerzan- gabe anhand der visuellen Analog-Skala [VAS] beim Auflegen von Gewich- ten auf dem zu kartographierenden allodynischen Hautareal [vgl. CLAUDE J. SPICHER et al., Hypersensibilität der Haut, in: Deutscher Verband der Ergo- therapeuten {Hrsg.}, Ergotherapie und Rehabilitation, Heft 4/2010, S. 17 f.]) und eine Verletzung der unter der allodynischen Zone liegenden Nervenäs- te wurde von der behandelnden Ergotherapeutin lediglich vermutet (act. I 4/3). Auch die Anästhesisten des Spitals N.________ erwähnten in ihren Berichten vom 10. April und 10. Juli 2017 (act. I 4/4, 5) keine orga- nisch objektiv ausgewiesene Nervenschädigung, sondern wiesen insbe- sondere auf bisher unterschätzte psychosomatische und psychosoziale Aspekte mit negativem Einfluss auf die Schmerzverarbeitung hin.</w:t>
      </w:r>
    </w:p>
    <w:p>
      <w:r>
        <w:rPr>
          <w:b/>
        </w:rPr>
        <w:t>E. 3.4.3</w:t>
      </w:r>
    </w:p>
    <w:p>
      <w:r>
        <w:t>Was die Auswirkungen der bildgebend und klinisch ausgewiesenen Einschränkungen anbelangt, formulierte Dr. med. E.________ ein differen- ziertes und überzeugendes Zumutbarkeitsprofil (act. IIA 304/7). Im Übrigen erachtete auch Dr. med. D.________ bereits im November 2012 leichte Tätigkeiten auf Bauchhöhe bzw. administrative Arbeiten als problemlos zumutbar (act. II 46/1), woran er im Oktober 2013 festhielt (act. II 139). Im September 2014 hielt er zumindest administrative Tätigkeit weiterhin für uneingeschränkt möglich, während er nicht schlüssig herzuleiten vermoch- te, weshalb gleichzeitig für andere leichte Arbeiten auf Bauchhöhe lediglich noch eine 50%ige Restarbeitsfähigkeit vorliegen soll (act. II 226/2). Auch</w:t>
      </w:r>
    </w:p>
    <w:p>
      <w:r>
        <w:t>Urteil des Verwaltungsgerichts des Kantons Bern vom 16. Okt. 2017, UV/16/995, Seite 13 die im erst nach dem Einspracheentscheid (act. IIA 376) am 6. Oktober 2016 (act. IIA 381) verfassten Bericht postulierte Arbeitsfähigkeit in einem «einarmigen Beruf» ist nicht geeignet, auch nur geringe Zweifel an der kreisärztlichen Beurteilung vom 28. Mai 2015 (act. IIA 304) zu begründen. Denn Dr. med. D.________ vermochte den von ihm trotz intakter RM- Strukturen befundeten pseudoparalytischen linken Arm (act. IIA 371/1) pa- tho-ätiologisch nicht nachvollziehbar zu erklären (act. IIA 371/1, 381) und orientierte sich damit offensichtlich an den subjektiven (Schmerz-)Angaben des Beschwerdeführers, was beweisrechtlich nicht genügt (vgl. BGE 136 V 279 E. 3.2.1 S. 281). Das von Dr. med. E.________ definierte Zumutbarkeitsprofil bezieht sich auf den somatischen Gesundheitsschaden, eine zusätzliche unfallbedingte psychische Einschränkung besteht nicht. Dr. med. J.________, Facharzt für Psychiatrie und Psychotherapie, der vom Beschwerdeführer zwischen September 2015 und Juli 2016 insgesamt viermal konsultiert worden war, diagnostizierte im Bericht vom 14. Juli 2016 (act. IIA 361) zwar eine chroni- sche Schmerzstörung mit somatischen und psychischen Faktoren (ICD-10: F45.41), er attestierte jedoch keine Arbeitsunfähigkeit. Ohnehin ist das Er- eignis vom 19. Februar 2012 (act. II 3) als leichter Unfall einzuordnen, weshalb der adäquate Kausalzusammenhang zwischen dem gewöhnlichen Ausrutschen bzw. Sturz und allfälligen psychischen Gesundheitsstörungen rechtsprechungsgemäss ohne weiteres zu verneinen wäre (vgl. BGE 129 V 177 E. 4.1 S. 183, 115 V 133 E. 6a S. 139; vgl. auch Beschwerdeantwort S. 7 Ziff. III Ziff. 14.2).</w:t>
      </w:r>
    </w:p>
    <w:p>
      <w:r>
        <w:rPr>
          <w:b/>
        </w:rPr>
        <w:t>E. 3.4.4</w:t>
      </w:r>
    </w:p>
    <w:p>
      <w:r>
        <w:t>Soweit der Beschwerdeführer geltend macht, der Fallabschluss sei verfrüht erfolgt (Beschwerde S. 8 f. lit. B lit. b Ziff. 13 f.), ist ihm nicht zu folgen. Im Zeitpunkt der kreisärztlichen Abschlussuntersuchung vom 28. Mai 2015 (act. IIA 304) war die orthopädische Behandlung bei Dr. med. D.________ abgeschlossen (act. IIA 297/2) und bestand längst keine Aus- sicht mehr auf eine namhafte Besserung des Gesundheitszustandes; der Beschwerdeführer zeigte sich mit dem Fallabschluss denn auch selbst ein- verstanden (act. IIA 306/10). Die weitergeführte Physiotherapie und Anal- gesie sind nicht als ärztliche Behandlungen im Sinne von Art. 19 Abs. 1 UVG zu qualifizieren und waren zudem offensichtlich auf die Erhaltung des</w:t>
      </w:r>
    </w:p>
    <w:p>
      <w:r>
        <w:t>Urteil des Verwaltungsgerichts des Kantons Bern vom 16. Okt. 2017, UV/16/995, Seite 14 Status quo gerichtet (act. IIA 297/1, 306/10). Ab 15. Juli 2015 galt der Be- schwerdeführer im Zweig der Arbeitslosenversicherung als vermittlungs- fähig (act. IIA 353, 368 Ziff. 8 und 14), mithin hätte ihm bei ausgeglichener Arbeitsmarktlage trotz seiner körperlichen Behinderung eine zumutbare Arbeit vermittelt werden können (vgl. Art. 15 des Bundesgesetzes vom 25. Juni 1982 über die obligatorische Arbeitslosenversicherung und die Insol- venzentschädigung [Arbeitslosenversicherungsgesetz, AVIG; SR 837.0]), was ebenfalls zeigt, dass der Fallabschluss im September 2015 nicht ver- früht erfolgte (vgl. auch act. IIA 376/5 E. 5). Des Weiteren wurde er im Zweig der Invalidenversicherung bis im Juni 2016 nur noch mittels Arbeits- vermittlung unterstützt (act. IIA 336, 338, 350 [= act. I 4/1]), welche nicht geeignet war, den der Invalidenrente der Unfallversicherung zu Grunde zu legenden Invaliditätsgrad zu beeinflussen (vgl. Entscheid des BGer vom 16. Januar 2014, 8C_588/2013, E. 3.4 mit Hinweisen). Ebenso wenig hin- dert ein erst später gefällter oder noch ausstehender Entscheid über den Anspruch auf Eingliederungsmassnahmen (act. I 4/2) den Fallabschluss (BGer 8C_588/2013, E. 3.4). Auch der im Mai 2016 erlittene Rückfall (act. IIA 346, 368) ändert an der Zulässigkeit des Fallabschlusses nichts. Denn die spätere Sachverhaltsentwicklung ist in diesem Zusammenhang prinzipiell irrelevant, da sich der Endzustand prospektiv (oder prognostisch) beurteilt (vgl. Entscheid des BGer vom 14. Dezember 2012, 8C_453/2012, E. 3). Zwar wurden nach dem Rückfall wieder Taggeldzahlungen erbracht (act. IIA 375), die auch noch über die Verfügung vom 8. September 2015 (act. IIA 323) hinaus ausgerichtet wurden (act. IIA 376/2 E. 1), dies steht der Annahme eines eingetretenen medizinischen Endzustandes aber eben- falls nicht entgegen. Selbst nach einem Rentenbeginn kann bei Rückfällen oder Spätfolgen erneut ein Taggeld oder Heilbehandlung geschuldet sein (vgl. Art. 21 Abs. 3 UVG), ohne dass der frühere Fallabschluss – der im Sinne von Art. 19 Abs. 1 Satz 2 UVG gleichsam als Synonym für den Ren- tenbeginn steht (vgl. BGE 143 V 148 E. 5.3.1 S. 156) – dadurch nachträg- lich in Frage gestellt wird. Analog verhält es sich, wenn der Fallabschluss – wie hier – mit der Feststellung erfolgt, dass kein Rentenanspruch besteht. Allein aufgrund des ab Mai 2016 weiter ausgerichteten Taggeldes kann somit nicht ein verfrühter Fallabschluss angenommen werden. Der vom Beschwerdeführer angeführte Bundesgerichtsentscheid (vom 29. Septem- ber 2015, 8C_170/2015, E. 4.3 [Beschwerde S. 9 lit. B lit. b Ziff. 15]) ist hier</w:t>
      </w:r>
    </w:p>
    <w:p>
      <w:r>
        <w:t>Urteil des Verwaltungsgerichts des Kantons Bern vom 16. Okt. 2017, UV/16/995, Seite 15 nicht einschlägig, da dort kein Rückfall vorlag, sondern die medizinische Aktenlage im Zeitpunkt des von der Verwaltung vorgenommenen Fallab- schlusses die Beantwortung der Frage nach einer zu erwartenden namhaf- ten Besserung des Gesundheitszustandes nicht zuliess (vgl. BGer 8C_170/2015, E. 5.3 und 5.5). Nach dem vorgenommenen Fallabschluss wurde aufgrund des gemeldeten Rückfalls am 28. November 2016 eine weitere kreisärztliche Untersuchung geplant (act. IIA 382, 390). Eine (erneute) Abschlussuntersuchung war hin- sichtlich der Prüfung eines allfälligen Rentenanspruchs bzw. eines Inte- gritätsschadens indes nicht zwingend vorzunehmen. Zudem ist die Frage nach der Zulässigkeit des Fallabschlusses bzw. einer zu erwartenden ge- sundheitlichen Verbesserung nicht aufgrund retrospektiver Feststellungen zu beurteilen (BGer 8C_453/2012, E. 3). Vor diesem Hintergrund lagen infolge des seit Mai 2015 unveränderten Zumutbarkeitsprofils, der überein- stimmenden ärztlichen Angaben, wonach für die Beschwerdesymptomatik keine klare Ursache gefunden werden konnte, sowie nachdem die psychia- trische Einschätzung keine Einschränkung der Arbeitsfähigkeit ergab (vgl. E. 3.4.2 f. hiervor), stabile Verhältnisse vor, welche den Fallabschluss im Verfügungszeitpunkt (act. IIA 323) erlaubten. Der medizinische Sachverhalt wurde seitens der Verwaltung in Nachachtung der Untersuchungsmaxime (Art. 43 Abs. 1 ATSG) rechtsgenüglich abgeklärt, weshalb sich weitere Er- hebungen, insbesondere das beschwerdeweise (S. 2 Ziff. 2 lit. c) beantrag- te (Gerichts-)Gutachten, erübrigen (antizipierte Beweiswürdigung [BGE 122 V 157 E. 1d S. 162]; vgl. prozessleitende Verfügung vom 9. Juni 2017).</w:t>
      </w:r>
    </w:p>
    <w:p>
      <w:r>
        <w:rPr>
          <w:b/>
        </w:rPr>
        <w:t>E. 3.5</w:t>
      </w:r>
    </w:p>
    <w:p>
      <w:r>
        <w:t>Als Zwischenergebnis festzuhalten ist, dass die Beschwerdegegne- rin gestützt auf die beweiskräftigen Beurteilungen der Dres. med. D.________ und E.________ (act. IIA 297, 304 f.) zu Recht den Fallab- schluss vornahm und von einer uneingeschränkten Arbeits- bzw. Leis- tungsfähigkeit in einer Verweisungstätigkeit bzw. einer Schultergelenksbe- weglichkeit bis zur Horizontalen ausging. Zu prüfen sind in einem weiteren Schritt die Auswirkungen dieser medizinischen Ausgangslage auf den An- spruch auf eine Invalidenrente bzw. eine Integritätsentschädigung.</w:t>
      </w:r>
    </w:p>
    <w:p>
      <w:r>
        <w:t>Urteil des Verwaltungsgerichts des Kantons Bern vom 16. Okt. 2017, UV/16/995, Seite 16</w:t>
      </w:r>
    </w:p>
    <w:p>
      <w:r>
        <w:rPr>
          <w:b/>
        </w:rPr>
        <w:t>E. 4.1</w:t>
      </w:r>
    </w:p>
    <w:p>
      <w:r>
        <w:t>S. 325).</w:t>
      </w:r>
    </w:p>
    <w:p>
      <w:r>
        <w:rPr>
          <w:b/>
        </w:rPr>
        <w:t>E. 4.2</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w:t>
      </w:r>
    </w:p>
    <w:p>
      <w:r>
        <w:rPr>
          <w:b/>
        </w:rPr>
        <w:t>E. 4.2.1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4.2.2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w:t>
      </w:r>
    </w:p>
    <w:p>
      <w:r>
        <w:t>Urteil des Verwaltungsgerichts des Kantons Bern vom 16. Okt. 2017, UV/16/995, Seite 17 schadens keine oder jedenfalls keine ihr an sich zumutbare neue Erwerbs- tätigkeit aufgenommen, so können nach der Rechtsprechung entweder Tabellenlöhne gemäss den vom Bundesamt für Statistik (BFS) periodisch herausgegebenen Lohnstrukturerhebungen (LSE) oder Lohnangaben aus der Dokumentation von Arbeitsplätzen (DAP) der Suva herangezogen wer- den (BGE 139 V 592 E. 2.3 S. 593). Die Vorlage von fünf zumutbaren Ar- beitsplätzen erscheint in quantitativer Hinsicht in der Regel als genügend. Im Hinblick auf die geforderte Repräsentativität der DAP-Profile und der daraus abgeleiteten Lohnangaben sind im Sinne einer qualitativen Anforde- rung zusätzlich Angaben zu machen über die Gesamtzahl der aufgrund der gegebenen Behinderung in Frage kommenden dokumentierten Arbeitsplät- ze, über den Höchst- und den Tiefstlohn sowie über den Durchschnittslohn der dem jeweils verwendeten Behinderungsprofil entsprechenden Gruppe. Allfällige Einwendungen der versicherten Person bezüglich des Auswah- lermessens und der Repräsentativität der DAP-Blätter im Einzelfall sind grundsätzlich im Einspracheverfahren zu erheben. Ist die Suva nicht in der Lage, im Einzelfall den erwähnten Anforderungen zu genügen, kann im Bestreitungsfall nicht auf den DAP-Lohnvergleich abgestellt werden (BGE 139 V 592 E. 6.3 S. 595, 129 V 472 E. 4.2.2 S. 480).</w:t>
      </w:r>
    </w:p>
    <w:p>
      <w:r>
        <w:rPr>
          <w:b/>
        </w:rPr>
        <w:t>E. 4.3.1</w:t>
      </w:r>
    </w:p>
    <w:p>
      <w:r>
        <w:t>Das ursprüngliche Arbeitsverhältnis mit der K.________ AG wurde unfallbedingt aufgelöst (act. II 51/1, 56 f.) und würde im hypothetischen Gesundheitsfall überwiegend wahrscheinlich weiterbestehen. Die Be- schwerdegegnerin hat für das Valideneinkommen indes nicht auf den von der K.________ AG gemeldeten mutmasslichen Lohn ohne Unfallfolgen für das Jahr 2015 (act. IIA 316) abgestellt, sondern offensichtlich auf jenen der L.________ AG (act. IIA 322/2 Ziff. 10 i.V.m. act. IIA 269), bei welcher der Beschwerdeführer zwischenzeitlich bis zum Rückfall im Februar 2014 ge- arbeitet hatte (act. II 134/2 f., 168/1; act. IIA 268). Somit beträgt das Vali- deneinkommen nicht Fr. 70‘380.-- (act. IIA 322/2 Ziff. 10 i.V.m. act. IIA 269), sondern höchstens Fr. 67‘860.-- ([Fr. 4‘900.-- Monatslohn + Fr. 290.-- Schichtzulage + Fr. 30.-- Beitrag an Krankenkassenprämie {act. II 72}] x 13 Monate).</w:t>
      </w:r>
    </w:p>
    <w:p>
      <w:r>
        <w:t>Urteil des Verwaltungsgerichts des Kantons Bern vom 16. Okt. 2017, UV/16/995, Seite 18</w:t>
      </w:r>
    </w:p>
    <w:p>
      <w:r>
        <w:rPr>
          <w:b/>
        </w:rPr>
        <w:t>E. 4.3.2</w:t>
      </w:r>
    </w:p>
    <w:p>
      <w:r>
        <w:t>Der Beschwerdeführer hat keine ihm an sich zumutbare neue Er- werbstätigkeit aufgenommen bzw. schöpft die medizinisch-theoretisch un- eingeschränkte Arbeitsfähigkeit nicht aus (act. IIA 322/1 Ziff. 5, 350) wes- halb die Beschwerdegegnerin sich zulässigerweise auf die DAP- Lohnangaben stützte. Der dabei ermittelte durchschnittliche Jahreslohn von Fr. 64‘679.-- (act. IIA 322/2 Ziff. 10) basiert auf der Vorlage von fünf Ar- beitsplätzen aus 129 Suchresultaten (act. IIA 318/1), wobei im Rahmen der Suchkriterien das medizinische Zumutbarkeitsprofil sowie die Ausbildungs- anforderungen beachtet wurden. Der Beschwerdeführer bringt weder ge- gen die Verwendung der DAP noch gegen die von der Beschwerdegegne- rin im Rahmen des ihr zukommenden Ermessens ausgewählten DAP- Löhne substanziierte Rügen vor, weshalb sich Weiterungen hierzu erübri- gen.</w:t>
      </w:r>
    </w:p>
    <w:p>
      <w:r>
        <w:rPr>
          <w:b/>
        </w:rPr>
        <w:t>E. 4.4</w:t>
      </w:r>
    </w:p>
    <w:p>
      <w:r>
        <w:t>Aus der Gegenüberstellung der beiden Vergleichseinkommen resul- tiert ein aufgerundeter (vgl. BGE 130 V 121 E. 3.2 und 3.3 S. 123) Invali- ditätsgrad von 5 % ([Fr. 67‘860.-- ./. Fr. 64‘679.--] / Fr. 67‘860.-- x 100). Bezüglich des Rentenanspruchs ist der angefochtene Einspracheentscheid vom 15. September 2016 (act. IIA 376) somit nicht zu beanstanden. Zu prüfen bleibt der Anspruch auf eine Integritätsentschädigung.</w:t>
      </w:r>
    </w:p>
    <w:p>
      <w:r>
        <w:rPr>
          <w:b/>
        </w:rPr>
        <w:t>E. 5.1</w:t>
      </w:r>
    </w:p>
    <w:p>
      <w:r>
        <w:t>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w:t>
      </w:r>
    </w:p>
    <w:p>
      <w:r>
        <w:rPr>
          <w:b/>
        </w:rPr>
        <w:t>E. 5.1.1</w:t>
      </w:r>
    </w:p>
    <w:p>
      <w:r>
        <w:t>Gemäss Art. 25 Abs. 2 UVG regelt der Bundesrat die Bemessung der Entschädigung. Von dieser Befugnis hat er in Art. 36 der Verordnung vom 20. Dezember 1982 über die Unfallversicherung (UVV; SR 832.202) Gebrauch gemacht. Abs. 1 dieser Vorschrift bestimmt, dass ein Integritäts-</w:t>
      </w:r>
    </w:p>
    <w:p>
      <w:r>
        <w:t>Urteil des Verwaltungsgerichts des Kantons Bern vom 16. Okt. 2017, UV/16/995, Seite 19 schaden als dauernd gilt, wenn er voraussichtlich während des ganzen Lebens mindestens in gleichem Umfang besteht. Er ist erheblich, wenn die körperliche, geistige oder psychische Integrität, unabhängig von der Er- werbsfähigkeit, augenfällig oder stark beeinträchtigt wird. Gemäss Abs. 2 gelten für die Bemessung der Integritätsentschädigung die Richtlinien des Anhangs 3. Darin hat der Bundesrat in einer als gesetzmässig erkannten, nicht abschliessenden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In diesem Zusammenhang hat die Suva in Weite- rentwicklung der bundesrätlichen Skala weitere Bemessungsgrundlagen in tabellarischer Form (sog. Feinraster; abrufbar unter &lt;www.suva.ch&gt;) erar- beitet. Diese Tabellen sind, soweit sie lediglich Richtwerte enthalten, mit denen die Gleichbehandlung aller Versicherten gewährleistet werden soll, mit dem Anhang 3 zur UVV vereinbar (BGE 124 V 29 E. 1c S. 32).</w:t>
      </w:r>
    </w:p>
    <w:p>
      <w:r>
        <w:rPr>
          <w:b/>
        </w:rPr>
        <w:t>E. 5.1.2</w:t>
      </w:r>
    </w:p>
    <w:p>
      <w:r>
        <w:t>Die Bemessung der Integritätsentschädigung richtet sich nach der Schwere des Integritätsschadens. Diese beurteilt sich nach dem medizini- schen Befund. Bei gleichem medizinischen Befund ist der Integritätsscha- den für alle Versicherten gleich; er wird abstrakt und egalitär bemessen (BGE 124 V 29 E. 3c S. 35).</w:t>
      </w:r>
    </w:p>
    <w:p>
      <w:r>
        <w:rPr>
          <w:b/>
        </w:rPr>
        <w:t>E. 5.2</w:t>
      </w:r>
    </w:p>
    <w:p>
      <w:r>
        <w:t>In seiner beweiskräftigen Beurteilung vom 2. Juni 2015 (act. IIA 305) schätzte Dr. med. E.________ den Integritätsschaden bezüg- lich der linken Schulter anhand der Suva-Tabelle 1 (Integritätsschaden bei Funktionsstörungen an den oberen Extremitäten) auf 15 %, da die Schulter nicht über die Horizontale bewegt werden kann. Diese Einschätzung findet insofern Rückhalt in den Befunden der klinischen Untersuchung der oberen Extremitäten vom 28. Mai 2015, als dabei anhand der Neutral-Null- Methode eine Abduktion links bis 85º gemessen wurde (act. IIA 304/6). Der Beschwerdeführer hat die von ihm eventualiter beantragte Integritätsent- schädigung von mindestens 20 % (Beschwerde S. 2 Ziff. 2 lit. a) nicht näher begründet. Dass Dr. med. D.________ im Bericht vom 6. Oktober 2016 (act. IIA 381) eine «signifikant eingeschränkte Beweglichkeit mit Be- wegung von etwa 30º» feststellte, steht – anders als anlässlich der öffentli-</w:t>
      </w:r>
    </w:p>
    <w:p>
      <w:r>
        <w:t>Urteil des Verwaltungsgerichts des Kantons Bern vom 16. Okt. 2017, UV/16/995, Seite 20 chen Schlussverhandlung geltend gemacht – der kreisärztlichen Beurtei- lung nicht entgegen. Denn im Wesentlichen lagen bei der betreffenden or- thopädischen Sprechstunde dieselben Befunde vor wie anlässlich der bild- gebenden Untersuchung vom 13. Februar 2015 (vgl. E. 3.4.1 hiervor). Zu- dem hat die präsentierte Einschränkung bei der aktiven Abduktion des lin- ken Arms ohnehin unberücksichtigt zu bleiben, soweit sie nicht auf einer klaren strukturellen Ursache beruht (act. IIA 381/2), sondern allenfalls auf eine Selbstlimitation bzw. anderweitige psychosomatische Faktoren zurückzuführen ist (vgl. E. 3.4.3 hiervor). Weil der Einspracheentscheid vom 15. September 2016 (act. IIA 376) auch in dieser Hinsicht nicht zu beanstanden ist, erweist sich die dagegen erhobene Beschwerde als un- begründet und ist abzuweisen.</w:t>
      </w:r>
    </w:p>
    <w:p>
      <w:r>
        <w:rPr>
          <w:b/>
        </w:rPr>
        <w:t>E. 6.1</w:t>
      </w:r>
    </w:p>
    <w:p>
      <w:r>
        <w:t>In Anwendung von Art. 1 Abs. 1 UVG i.V.m. Art. 61 lit. a ATSG sind keine Verfahrenskosten zu erheben.</w:t>
      </w:r>
    </w:p>
    <w:p>
      <w:r>
        <w:rPr>
          <w:b/>
        </w:rPr>
        <w:t>E. 6.2</w:t>
      </w:r>
    </w:p>
    <w:p>
      <w:r>
        <w:t>Bei diesem Ausgang des Verfahrens ist dem Beschwerdeführer keine Parteientschädigung zuzusprechen (Art. 1 Abs. 1 UVG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