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791 vom 4. August 2016</w:t>
      </w:r>
    </w:p>
    <w:p>
      <w:r>
        <w:t>BE Verwaltungsgericht, 2016-08-04, DE</w:t>
      </w:r>
    </w:p>
    <w:p>
      <w:r>
        <w:rPr>
          <w:b/>
        </w:rPr>
        <w:t xml:space="preserve">Quelle: </w:t>
      </w:r>
      <w:r>
        <w:t>https://mcp.opencaselaw.ch/entscheid/be_verwaltungsgericht_200_2016_791</w:t>
      </w:r>
    </w:p>
    <w:p>
      <w:r>
        <w:t>FR: BE_VERWALTUNGSGERICHT 200 2016 791 du 4 août 2016</w:t>
      </w:r>
    </w:p>
    <w:p>
      <w:r>
        <w:t>IT: BE_VERWALTUNGSGERICHT 200 2016 791 del 4 agosto 2016</w:t>
      </w:r>
    </w:p>
    <w:p>
      <w:pPr>
        <w:pStyle w:val="Heading2"/>
      </w:pPr>
      <w:r>
        <w:t>Regeste</w:t>
      </w:r>
    </w:p>
    <w:p>
      <w:r>
        <w:t>Verfügung vom 4. August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4. August 2016 (AB 142). Streitig und zu prüfen ist der Anspruch der Beschwerdeführerin auf eine Invalidenrente und in diesem Zusammenhang die Vollständigkeit der Sachverhaltsabklärung.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2.2 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w:t>
      </w:r>
    </w:p>
    <w:p>
      <w:r>
        <w:t>Urteil des Verwaltungsgerichts des Kantons Bern vom 16. Aug. 2017, IV/16/791, Seite 7 Frage, welche Arbeitsleistungen den Versicherten noch zugemutet werden können (BGE 140 V 193 E. 3.2 S. 195, 132 V 93 E. 4 S. 99). 2.4 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der Verordnung vom 17. Januar 1961 über die Invali- denversicherung [IVV; SR 831.201]). Tritt die Verwaltung auf die Neuan- meldung ein, so hat sie die Sache materiell abzuklären und sich zu vergewissern, ob die von der versicherten Person glaubhaft gemachte Ver- änderung des Invaliditätsgrades auch tatsächlich eingetreten ist; sie hat demnach in analoger Weise wie bei einem Revisionsfall nach Art. 17 Abs. 1 ATSG vorzugehen (SVR 2011 IV Nr. 2 S. 8 E. 3.2).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 fungspflicht auch dem Gericht (BGE 117 V 198 E. 3a S. 198; SVR 2008 IV Nr. 35 S. 117 E. 2.1).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S. 112; 130 V 71 E. 3.2.3 S. 77; AHI 1999 S. 84 E. 1b). 3. Die Beschwerdegegnerin ist auf die Neuanmeldung (AB 89) eingetreten und hat den Leistungsanspruch materiell geprüft. Die Eintretensfrage ist vom Gericht deshalb nicht zu beurteilen (BGE 109 V 108 E. 2b S. 114). Indes ist zu prüfen, ob eine für den Leistungsanspruch potentiell relevante Veränderung in den tatsächlichen Verhältnissen eingetreten ist, wobei der</w:t>
      </w:r>
    </w:p>
    <w:p>
      <w:r>
        <w:t>Urteil des Verwaltungsgerichts des Kantons Bern vom 16. Aug. 2017, IV/16/791, Seite 8 Sachverhalt im Zeitpunkt der mit Urteil vom 25. Juni 2010 (AB 84) bestätig- ten anspruchsverneinenden Verfügung vom 26. Juni 2009 (AB 69) mit demjenigen im Zeitpunkt der angefochtenen Verfügung vom 4. August 2016 (AB 142) zu vergleichen ist (E. 2.4 hiervor). 3.1 Im Vorfeld der gerichtlich bestätigten Verfügung vom 26. Juni 2009 (AB 69, 84) wurde die Beschwerdeführerin in der Begutachtungsstelle D.________ (MEDAS) polydisziplinär untersucht. In der entsprechenden Expertise vom 8. Februar 2008 (AB 36/3) wurde Folgendes erwähnt: Hauptdiagnosen (mit Einfluss auf die Arbeitsfähigkeit) - Rezidivierende depressive Störung, zurzeit leichtgradige Episode - Histrionische Persönlichkeit - Status nach Verkehrsunfall 15.04.2006 mit • Commotio cerebri • HWS-Distorsion • Abrissfrakturen LWK2 bis LWK4 rechts, Kompressionsfraktur BWK11, Deck- plattenimpressionsfraktur BWK12 Nebendiagnosen (ohne Einfluss auf die Arbeitsfähigkeit) - Muskuläre Dysbalance im Schultergürtelbereich - Ansatztendinotische Beschwerden am Beckenkamm medial rechts - Chronischer Nikotinabusus Aus somatischer Sicht seien die Unfallfolgen resp. die Frakturen im Bereich der Wirbelsäule als geheilt zu betrachten. Es hätten zudem weder Folgen der HWS-Distorsion noch klinische Folgen der commotio cerebri festgestellt werden können. Seit etwa Oktober 2006 bestehe wieder eine normale Ar- beitsfähigkeit (S. 23). Aus psychiatrischer Sicht sei eine posttraumatische Belastungsstörung nicht zu diagnostizieren. Die Explorandin habe schon vor dem Unfall, etwa seit 1995 unter rezidivierenden depressiven Störun- gen gelitten; der Verkehrsunfall habe zu einer weiteren Verschlimmerung der depressiven Störung geführt. Auch sei es zu einer gewissen Dekom- pensation der histrionischen Persönlichkeit gekommen (S. 23). Insgesamt sei die Arbeitsfähigkeit in der zuletzt ausgeübten Tätigkeit als zu 40% ein- geschränkt zu schätzen (S. 24).</w:t>
      </w:r>
    </w:p>
    <w:p>
      <w:r>
        <w:t>Urteil des Verwaltungsgerichts des Kantons Bern vom 16. Aug. 2017, IV/16/791, Seite 9 In VGE IV/2009/850 (AB 84) gelangte das Gericht zum Schluss, dass der Expertise vom 8. Februar 2008 (AB 36/3) voller Beweiswert zukommt bzw. von einer 60%-igen Restarbeitsfähigkeit auszugehen ist (E. 6.2.3 und E. 8.2). 3.2 Den im Rahmen der Neuanmeldung eingereichten medizinischen Unterlagen ist im Wesentlichen das Folgende zu entnehmen: 3.2.1 Dr. med. E.________, Facharzt für Psychiatrie und Psychotherapie, gab im Verlaufsbericht vom 12. Juni 2014 (AB 98/1) an, seit der Verfügung vom 26. Juni 2009 sei bis zum jetzigen Zeitpunkt „keine signifikante Veränderung“ erzielt worden. Er nannte folgende Diagnosen: Anhaltende mittel- bis schwergradig depressive Störung i.R. einer rezidivierenden de- pressiven Störung, andauernde Persönlichkeitsstörung nach Extrembelas- tung, chronisches Schmerzsyndrom mit psychischen und somatischen Faktoren (ICD-10 F33.2, F62.0, F45.41). Es finde eine supportive Einzel- psychotherapie, Behandlung mit Psychopharmaka sowie flankierend eine verhaltenstherapeutisch orientierte delegierte Psychotherapie im zweimo- natlichen Rhythmus statt. Aus psychiatrischer Sicht bestehe nach wie vor eine 100%-ige Arbeitsunfähigkeit in allen Tätigkeiten. 3.2.2 Im Bericht vom 10. Dezember 2014 (AB 123.2/17) des Spitals F.________ wurden folgende Diagnosen aufgeführt: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16. Aug. 2017, IV/16/791,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