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694 vom 13. Juli 2016</w:t>
      </w:r>
    </w:p>
    <w:p>
      <w:r>
        <w:t>BE Verwaltungsgericht, 2016-07-13, DE</w:t>
      </w:r>
    </w:p>
    <w:p>
      <w:r>
        <w:rPr>
          <w:b/>
        </w:rPr>
        <w:t xml:space="preserve">Quelle: </w:t>
      </w:r>
      <w:r>
        <w:t>https://mcp.opencaselaw.ch/entscheid/be_verwaltungsgericht_200_2016_694</w:t>
      </w:r>
    </w:p>
    <w:p>
      <w:r>
        <w:t>FR: BE_VERWALTUNGSGERICHT 200 2016 694 du 13 juillet 2016</w:t>
      </w:r>
    </w:p>
    <w:p>
      <w:r>
        <w:t>IT: BE_VERWALTUNGSGERICHT 200 2016 694 del 13 luglio 2016</w:t>
      </w:r>
    </w:p>
    <w:p>
      <w:pPr>
        <w:pStyle w:val="Heading2"/>
      </w:pPr>
      <w:r>
        <w:t>Regeste</w:t>
      </w:r>
    </w:p>
    <w:p>
      <w:r>
        <w:t>Einspracheentscheid vom 13. Juli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Angefochten ist der Einspracheentscheid vom 13. Juli 2016 (AB 147). Streitig ist der Anspruch auf Ergänzungsleistungen. Im Rahmen des Streitgegenstandes ist allein zu prüfen, ob – und gegebenenfalls wie – bei Urteil des Verwaltungsgerichts des Kantons Bern vom 6. Dez. 2016, EL/16/694, Seite 5 der Berechnung der Ergänzungsleistungen Gewinnungskosten zu berück- sichtigen sind oder nicht. Daher hat sich die richterliche Beurteilung praxis- gemäss auf diesen Punkt zu beschränken, wogegen kein Anlass besteht, die übrigen unbestrittenen Berechnungspositionen in die Prüfung mit ein- zubeziehen (BGE 110 V 48 E. 4a S. 53; ZAK 1992 S. 487 E. 1b).</w:t>
      </w:r>
    </w:p>
    <w:p>
      <w:r>
        <w:rPr>
          <w:b/>
        </w:rPr>
        <w:t>E. 1.3</w:t>
      </w:r>
    </w:p>
    <w:p>
      <w:r>
        <w:t>Da vorliegend auch unter Berücksichtigung der hier streitigen Ge- winnungskosten von Fr. 13‘777.-- (AB 137), welche im Umfang von Fr. 2‘123.-- akzeptiert worden sind (AB 142, S. 8), die Ergänzungsleistun- gen nicht um mehr als Fr. 20‘000.-- pro Jahr höher wären und eine Verfü- gung über Ergänzungsleistungen in zeitlicher Hinsicht nur für ein Kalenderjahr Rechtsbeständigkeit entfalten kann (BGE 128 V 39), fällt die Beurteilung der Beschwerde in die einzelrichterliche Zuständigkeit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4 Abs. 1 des Bundesgesetzes über Ergänzungsleis- tungen zur Alters-, Hinterlassenen- und Invalidenversicherung vom 19. März 1965 (ELG; SR 831.30) haben Personen mit Wohnsitz und ge- wöhnlichem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(Art. 9 Abs. 1 ELG).</w:t>
      </w:r>
    </w:p>
    <w:p>
      <w:r>
        <w:rPr>
          <w:b/>
        </w:rPr>
        <w:t>E. 2.2</w:t>
      </w:r>
    </w:p>
    <w:p>
      <w:r>
        <w:t>Bei Personen, die nicht dauernd oder längere Zeit in einem Heim oder Spital leben (zu Hause lebende Personen), fällt unter die Ausgaben in erster Linie der Betrag für den allgemeinen Lebensbedarf pro Jahr. Dane- Urteil des Verwaltungsgerichts des Kantons Bern vom 6. Dez. 2016, EL/16/694, Seite 6 ben gehören zu den anerkannten Ausgaben der Mietzins einer Wohnung und die damit zusammenhängenden Nebenkosten, die Gewinnungskosten, die Gebäudeunterhaltskosten, die Beiträge an die Sozialversicherungen des Bundes, ein jährlicher Pauschalbetrag für die obligatorische Kranken- pflegeversicherung sowie geleistete familienrechtliche Unterhaltsbeiträge (Art. 10 Abs. 1 lit. b und Abs. 3 ELG). Laut Art. 10 Abs. 3 lit. a ELG werden die Gewinnungskosten bis zum Brut- toerwerbseinkommen als Ausgaben anerkannt. Als abzugsfähige Gewinnungskosten sind die unmittelbar zur Erzielung des rohen Einkommens oder zur Erhaltung der Einkommensquelle gemachten Aufwendungen zu betrachten. Es sind die Ausgaben, welche die Erzielung des erfassten Einkommens mit sich bringt und die sich aus einer Berufstätigkeit unmittelbar ergeben. Nicht zu den Gewinnungskosten gehören diejenigen Auslagen, die mit dem Erwerb nicht oder nur mittelbar zusammenhängen (BGE 111 V 124 E. 3c S. 128). Dabei muss aber nicht nachgewiesen sein, dass eine Aufwendung, um zu den Gewinnungskosten zu zählen, im einzelnen Fall wirklich notwendig ist; es genügt, dass sie nach der Verkehrsauffassung mit der Erzielung des zu erfassenden Einkommens in Zusammenhang steht (Entscheid des Eidgenössischen Versicherungsgerichts [EVG, heute Bundesgericht {BGer}] vom 29. April 2004, P 27/03, E. 5.1). Massgebend ist die steuerrechtliche Definition der Gewinnungskosten (RALPH JÖHL/PATRICIA USINGER-EGGER, Ergänzungs- leistungen zur AHV/IV, in ULRICH MEYER [Hrsg.], Schweizerisches Bundes- verwaltungsrecht [SBVR], Band XIV, Soziale Sicherheit, 3. Aufl. 2016, S. 1779 N. 96 Fn. 371). Gemäss Art. 26 Abs. 1 des Bundesgesetzes über die direkte Bundessteuer vom 14. Dezember 1990 (DBG; SR 642.11) sind als Berufskosten (Gewinnungskosten) abzuziehen die notwendigen Kosten für die Fahrten zwischen Wohn- und Arbeitsstätte, die notwendigen Mehrkos- ten für die Verpflegung ausserhalb der Wohnstätte oder bei Schichtarbeit sowie die übrigen für die Ausübung des Berufes erforderlichen Kosten und die mit dem Beruf zusammenhängenden Weiterbildungs- und Umschu- lungskosten (JÖHL/USINGER-EGGER, a.a.O., S. 1780 f. N. 97; vgl. auch Rz. 3423.03 der Wegleitung über die Ergänzungsleistungen zur AHV und IV [WEL] des Bundesamtes für Sozialversicherungen [BSV], Stand 1. Januar 2016). Urteil des Verwaltungsgerichts des Kantons Bern vom 6. Dez. 2016, EL/16/694, Seite 7</w:t>
      </w:r>
    </w:p>
    <w:p>
      <w:r>
        <w:rPr>
          <w:b/>
        </w:rPr>
        <w:t>E. 2.3</w:t>
      </w:r>
    </w:p>
    <w:p>
      <w:r>
        <w:t>Das Versicherungsgericht stellt unter Mitwirkung der Parteien die für den Entscheid erheblichen Tatsachen fest; es erhebt die notwendigen Be- weise und ist in der Beweiswürdigung frei (Art. 61 lit. c ATSG). Der Unter- suchungsgrundsatz gehört zu den allgemeinen Grundsätzen des Sozialversicherungsprozesses. Danach hat das Gericht von Amtes wegen, aus eigener Initiative und ohne Bindung an die Vorbringen oder Beweisan- träge der Parteien für die richtige und vollständige Abklärung und Feststel- lung des rechtserheblichen Sachverhaltes zu sorgen. Dieser Grundsatz gilt indessen nicht uneingeschränkt; er findet sein Korrelat in den Mitwirkungs- pflichten der Parteien (BGE 138 V 218 E. 6 S. 221, 122 V 157 E. 1a S. 158). Das Bundesgericht hat wiederholt festgehalten, dass das kantonale Ge- richt, das den Sachverhalt als ungenügend abgeklärt erachtet, im Prinzip die Wahl hat, die Sache zu weiteren Beweiserhebungen an die Verwaltung zurückzuweisen oder selber die nötigen Instruktionen vorzunehmen (BGE 127 V 228 E. 2a S. 231). Bei festgestellter Abklärungsbedürftigkeit verletzt die Rückweisung der Sache an die Verwaltung als solche weder den Un- tersuchungsgrundsatz noch das Gebot eines einfachen und raschen Ver- fahrens. Anders verhielte es sich nur dann, wenn die Rückweisung an die Verwaltung einer Verweigerung des gerichtlichen Rechtsschutzes gleich- käme (beispielsweise dann, wenn aufgrund besonderer Gegebenheiten nur ein Gerichtsgutachten oder andere gerichtliche Beweismassnahmen ge- eignet wären, zur Abklärung des Sachverhaltes beizutragen; vgl. BGE 137 V 210) oder wenn die Rückweisung nach den Umständen als unverhält- nismässig bezeichnet werden müsste (BGE 122 V 157 E. 1d S. 163; RKUV 1989 K 809 S. 207 E. 4).</w:t>
      </w:r>
    </w:p>
    <w:p>
      <w:r>
        <w:rPr>
          <w:b/>
        </w:rPr>
        <w:t>E. 3.1</w:t>
      </w:r>
    </w:p>
    <w:p>
      <w:r>
        <w:t>Da die Verfügung über Ergänzungsleistungen zeitlich nur für ein Kalenderjahr Rechtsbeständigkeit entfalten kann (BGE 128 V 39), ist – ent- gegen der Auffassung in der Beschwerde, S. 2 – die bisherige Praxis der Ausgleichskasse sowie die Einigung der Parteien vor dem Verwaltungsge- richt im Jahr 1997 (vgl. AB 11) – ein materielles Urteil wurde nicht gefällt Urteil des Verwaltungsgerichts des Kantons Bern vom 6. Dez. 2016, EL/16/694, Seite 8 (AB 13) – von vornherein unbeachtlich, dies abgesehen davon, dass sich die Umstände in den vergangenen fast zwanzig Jahren auch geändert ha- ben (vgl. Eingabe des Beschwerdeführers vom 13. November 2016, S. 1 [im Gerichtsdossier]).</w:t>
      </w:r>
    </w:p>
    <w:p>
      <w:r>
        <w:rPr>
          <w:b/>
        </w:rPr>
        <w:t>E. 3.2</w:t>
      </w:r>
    </w:p>
    <w:p>
      <w:r>
        <w:t>Zunächst ist zu prüfen, ob die geltend gemachten Mietkosten für den Wochenaufenthalt am Arbeitsort als Gewinnungskosten zur berück- sichtigen sind oder nicht. Dazu ist zu entscheiden, wo der Beschwerdefüh- rer Wohnsitz hat.</w:t>
      </w:r>
    </w:p>
    <w:p>
      <w:r>
        <w:rPr>
          <w:b/>
        </w:rPr>
        <w:t>E. 3.2.1</w:t>
      </w:r>
    </w:p>
    <w:p>
      <w:r>
        <w:t>Gemäss Art. 13 Abs. 1 ATSG bestimmt sich der Wohnsitz einer Person nach Art. 23 - 26 des Schweizerischen Zivilgesetzbuches (ZGB; SR 210). Der zivilrechtliche Wohnsitz einer Person befindet sich an dem Ort, wo sie sich mit der Absicht dauernden Verbleibens aufhält (Art. 23 Abs. 1 ZGB) und den sie sich zum Mittelpunkt ihrer Lebensinteressen gemacht hat. Für die Begründung des Wohnsitzes müssen somit zwei Merkmale erfüllt sein: ein objektives äusseres, der Aufenthalt, sowie ein subjektives inneres, die Absicht dauernden Verbleibens. Nach der Rechtsprechung kommt es nicht auf den inneren Willen, sondern darauf an, auf welche Ab- sicht die erkennbaren Umstände objektiv schliessen lassen. Der Wohnsitz bleibt an diesem Ort bestehen, solange nicht anderswo ein neuer begrün- det wird (Art. 24 Abs. 1 ZGB; zum Ganzen BGE 133 V 309 E. 3.1 S. 312). Nicht massgeblich, sondern nur Indizien für die Beurteilung der Wohnsitz- frage sind die Anmeldung und Hinterlegung der Schriften, die Ausübung der politischen Rechte, die Bezahlung der Steuern, fremdenpolizeiliche Bewilligungen sowie die Gründe, die zur Wahl eines bestimmten Wohnsit- zes veranlassen (RKUV 2005 KV 344 S. 363 E. 3). Hat eine Person dauer- hafte Beziehungen zu mehreren Orten, so befindet sich ihr Wohnsitz an dem Ort, zu dem sie die engsten Beziehungen unterhält, den sie zum Mit- telpunkt ihres Daseins, ihrer persönlichen Beziehungen, ihrer geistigen und materiellen Interessen, ihres Lebens und allgemein auch ihrer beruflichen Tätigkeit machen wollte (ZAK 1990 S. 248 E. 3a).</w:t>
      </w:r>
    </w:p>
    <w:p>
      <w:r>
        <w:rPr>
          <w:b/>
        </w:rPr>
        <w:t>E. 3.2.2</w:t>
      </w:r>
    </w:p>
    <w:p>
      <w:r>
        <w:t>Gemäss eigenen Angaben schläft der Beschwerdeführer während fünf Nächten in einer Zweizimmerwohnung an seinem Arbeitsort ... und während zwei Nächten bei seinen Eltern; wegen der … müsse er in ... übernachten (Formular von Januar 2016; AB 141 S. 1). Auf die prozesslei- Urteil des Verwaltungsgerichts des Kantons Bern vom 6. Dez. 2016, EL/16/694, Seite 9 tende Verfügung des Instruktionsrichters vom 1. November 2016 hin mach- te der Beschwerdeführer in seiner Eingabe vom 13. November 2016 (im Gerichtsdossier) weitere Angaben zu seinem persönlichen Umfeld, insbe- sondere führte er aus, er beziehe unter der Woche einen Ruhetag sowie einen weiteren am Sonntag (S. 1, lit. a). Er sei „Daheim“ in .... Seine einzi- gen Bezugspersonen seien die Eltern, seine Schwester mit Ehemann und zwei Kindern im oberen Stock des Elternhauses. In ... habe er absolut kei- ne sozialen Beziehungen. Er habe keine Freunde und sei in keinem Verein Mitglied. Seine Arbeitskollegen würden die Freizeit nicht mit ihm verbringen (S. 2, lit. b). Entgegen der in der Beschwerde, S. 1 unten, vertretenen Auffassung ist der Ort, an dem die Schriften hinterlegt sind, nicht allein massgebend, um den Lebensmittelpunkt zu bestimmen, dafür sind vielmehr die gesamten Umstände zu berücksichtigen (vgl. E. 3.2.1 hiervor). Auch wenn mittlerweile Angaben des Beschwerdeführers über seine Verhältnisse vorliegen (Ein- gabe vom 13. November 2016 [im Gerichtsdossier]), ist der Sachverhalt weiterhin ungenügend abgeklärt, denn die Angaben des Beschwerdefüh- rers sind nicht vollständig belegt, so dass weitere Nachfragen erforderlich sind, damit über die Notwendigkeit der geltend gemachten Kosten befun- den werden kann. Weiter wird auch der Umstand zu würdigen sein, dass der Beschwerdeführer im November 2011 in ... in eine grössere Wohnung gezogen ist (vgl. AB 85, 127), was bei einem Ort, der allein dem Schlafen dient, nicht ohne Weiteres einleuchtet. In der Folge wird die Beschwerde- gegnerin die ihr notwendig erscheinenden weiteren Abklärungen zu tätigen und je nach Ergebnis die Miete zu berücksichtigen haben oder nicht. Mit diesem Vorgehen kann einerseits die Verwaltung das ihr zustehende Er- messen ausüben und andererseits bleibt dem Beschwerdeführer so die Möglichkeit des doppelten Instanzenzuges gewahrt, indem er den neuen Entscheid der Beschwerdegegnerin wiederum bei zwei Gerichten (zunächst dem Verwaltungs- und gegebenenfalls später dem Bundesge- richt) wird anfechten können, sofern er mit dem neuen Entscheid der Ver- waltung nicht einverstanden sein sollte.</w:t>
      </w:r>
    </w:p>
    <w:p>
      <w:r>
        <w:rPr>
          <w:b/>
        </w:rPr>
        <w:t>E. 3.2.3</w:t>
      </w:r>
    </w:p>
    <w:p>
      <w:r>
        <w:t>Der Anteil am Eigenmietwert (Beschwerde, S. 2 Ziff. 2; AB 137) ist nur dann zu berücksichtigen, wenn der Beschwerdeführer Wohnsitz bei Urteil des Verwaltungsgerichts des Kantons Bern vom 6. Dez. 2016, EL/16/694, Seite 10 seinen Eltern hat; diesfalls aber nicht als Gewinnungs-, sondern als Wohn- kosten.</w:t>
      </w:r>
    </w:p>
    <w:p>
      <w:r>
        <w:rPr>
          <w:b/>
        </w:rPr>
        <w:t>E. 3.2.4</w:t>
      </w:r>
    </w:p>
    <w:p>
      <w:r>
        <w:t>Der Beschwerdeführer bringt weiter vor, als Gewinnungskosten sei- en die Auslagen für ein Generalabonnement anzurechnen (Beschwerde, S. 1 f.; AB 137). Diese Frage kann erst beantwortet werden, wenn über den Wohnsitz entschieden ist. Denn bei Wohnsitz am Arbeitsort wären die Aus- lagen für ein Generalabonnement kaum zu rechtfertigen. Sollte der Wohn- sitz dagegen weiterhin am Wohnort der Eltern liegen und in der Folge Wegekosten berücksichtigt werden, müsste überdies geklärt werden, ob ein Streckenabonnement günstiger wäre, denn es können nur die notwen- digen Auslagen berücksichtigt werden. Die Aussagen des Beschwerdefüh- rers allein (Eingabe vom 13. November 2016 [im Gerichtsdossier]) genügen in dieser Hinsicht nicht. Weiter fällt auf, dass der Beschwerdeführer gemäss Angaben in der Steuererklärung 2014 über ein Auto verfügt (AB 129, S. 4) und allenfalls gewisse Wege auf diese Weise zurücklegen könn- te – aber auch insoweit finden sich keine Angaben in den Akten, insbeson- dere ist nicht ersichtlich, ob der Beschwerdeführer über einen Führerschein verfügt.</w:t>
      </w:r>
    </w:p>
    <w:p>
      <w:r>
        <w:rPr>
          <w:b/>
        </w:rPr>
        <w:t>E. 3.3</w:t>
      </w:r>
    </w:p>
    <w:p>
      <w:r>
        <w:t>Die schliesslich geltend gemachten Diätkosten (Beschwerde, S. 2 Ziff. 3) respektive die Mehrkosten der Verpflegung (AB 137) sind nach dem aktuellen Stand der Akten ungenügend belegt; insbesondere ist mit den Ausführungen in der Eingabe vom 13. November 2016, S. 2 f. lit. d (im Ge- richtsdossier), die Notwendigkeit der entsprechenden Auslagen nicht nach- gewiesen. Denk- und allenfalls zumutbar sind gegebenenfalls auch Alternativen, z.B. Vorkochen und Aufwärmen der entsprechenden Mahlzei- ten.</w:t>
      </w:r>
    </w:p>
    <w:p>
      <w:r>
        <w:rPr>
          <w:b/>
        </w:rPr>
        <w:t>E. 3.4</w:t>
      </w:r>
    </w:p>
    <w:p>
      <w:r>
        <w:t>Nach dem Dargelegten ist die Beschwerde gutzuheissen und der angefochtene Einspracheentscheid vom 13. Juli 2016 aufzuheben. Die Sache geht zurück an die Beschwerdegegnerin, damit sie die notwendigen Abklärungen vornehme und anschliessend neu verfüge; das rechtliche Gehör gemäss BGE 137 V 314 ist gewährt worden (prozessleitende Verfü- gung vom 1. November 2016).</w:t>
      </w:r>
    </w:p>
    <w:p>
      <w:r>
        <w:rPr>
          <w:b/>
        </w:rPr>
        <w:t>E. 4</w:t>
      </w:r>
    </w:p>
    <w:p>
      <w:r>
        <w:t>Urteil des Verwaltungsgerichts des Kantons Bern vom 6. Dez. 2016, EL/16/694, Seite 11</w:t>
      </w:r>
    </w:p>
    <w:p>
      <w:r>
        <w:rPr>
          <w:b/>
        </w:rPr>
        <w:t>E. 4.1</w:t>
      </w:r>
    </w:p>
    <w:p>
      <w:r>
        <w:t>Verfahrenskosten sind in Anwendung von Art. 1 Abs. 1 ELG i.V.m. Art. 61 lit. a ATSG keine zu erheben.</w:t>
      </w:r>
    </w:p>
    <w:p>
      <w:r>
        <w:rPr>
          <w:b/>
        </w:rPr>
        <w:t>E. 4.2</w:t>
      </w:r>
    </w:p>
    <w:p>
      <w:r>
        <w:t>Da der Aufwand der Beschwerdeführung nicht den Rahmen dessen überschritt, was der Einzelne üblicher- und zumutbarerweise nebenbei zur Besorgung der persönlichen Angelegenheiten auf sich zu nehmen hat (BGE 127 V 205 E. 4b S. 207), hat der Beschwerdeführer trotz seines Ob- siegens keinen Anspruch auf eine Parteientschädigung.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