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594 vom 20. Mai 2016</w:t>
      </w:r>
    </w:p>
    <w:p>
      <w:r>
        <w:t>BE Verwaltungsgericht, 2016-05-20, DE</w:t>
      </w:r>
    </w:p>
    <w:p>
      <w:r>
        <w:rPr>
          <w:b/>
        </w:rPr>
        <w:t xml:space="preserve">Quelle: </w:t>
      </w:r>
      <w:r>
        <w:t>https://mcp.opencaselaw.ch/entscheid/be_verwaltungsgericht_200_2016_594</w:t>
      </w:r>
    </w:p>
    <w:p>
      <w:r>
        <w:t>FR: BE_VERWALTUNGSGERICHT 200 2016 594 du 20 mai 2016</w:t>
      </w:r>
    </w:p>
    <w:p>
      <w:r>
        <w:t>IT: BE_VERWALTUNGSGERICHT 200 2016 594 del 20 maggio 2016</w:t>
      </w:r>
    </w:p>
    <w:p>
      <w:pPr>
        <w:pStyle w:val="Heading2"/>
      </w:pPr>
      <w:r>
        <w:t>Regeste</w:t>
      </w:r>
    </w:p>
    <w:p>
      <w:r>
        <w:t>Einspracheentscheid vom 20. Mai 2016 (E 1199/15)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20. Mai 2016 (act. IIB 326). Streitig und zu prüfen ist der Anspruch auf eine Invali- denrente der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w:t>
      </w:r>
    </w:p>
    <w:p>
      <w:r>
        <w:t>Urteil des Verwaltungsgerichts des Kantons Bern vom 31. Jan. 2017, UV/16/594, Seite 5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Ist die versicherte Person infolge des Unfalles zu mindestens 10 % invalid (Art. 8 ATSG), so hat sie Anspruch auf eine Invalidenrente (Art. 18 Abs. 1 UVG). Invalidität ist die voraussichtlich bleibende oder längere Zeit dauernde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(vgl. BGE 141 V 9 E. 2.3 S. 10, 130 V 343 E. 3.5 S. 349).</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31. Jan. 2017, UV/16/594, Seite 6 ditätsschätzungen zu prüfen (BGE 141 V 9 E. 2.3 S. 11, 117 V 198 E. 4b S. 200; SVR 2011 IV Nr. 37 S. 109 E. 1.1).</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3.1</w:t>
      </w:r>
    </w:p>
    <w:p>
      <w:r>
        <w:t>Zu vergleichen ist der Sachverhalt zur Zeit des angefochtenen Ein- spracheentscheids vom 20. Mai 2016 (act. IIB 326) mit demjenigen anläss- lich der Verfügung vom 16. April 2009 (act. IIA 249), mit welcher die Suva dem Beschwerdeführer die bisher ausgerichtete Rente basierend auf ei- nem IV-Grad von 69 % per 1. Mai 2009 auf 60 % herabsetzte. Zu prüfen ist, ob in diesem Zeitraum eine Änderung in den medizinischen oder er- werblichen Verhältnissen eingetreten ist, welche geeignet ist, den bisheri- gen Rentenanspruch zu beeinflussen (vgl. E. 2.3.1 hiervor). Die Bestäti- gung der laufenden Rente mittels Schreiben vom 22. Juli 2013 (act. IIB 292) ist in dieser Hinsicht unbeachtlich, da dieser keine hinrei- chende materielle Prüfung der anspruchserheblichen Tatsachen voraus- ging (vgl. E. 2.3.3 hiervor). Sollte im massgebenden Vergleichszeitraum eine relevante Änderung eingetreten sein, wäre in einem weiteren Schritt zu prüfen, ob sich diese auf den bisherigen Rentenanspruch auswirkt (vgl. E. 2.3.2 hiervor).</w:t>
      </w:r>
    </w:p>
    <w:p>
      <w:r>
        <w:rPr>
          <w:b/>
        </w:rPr>
        <w:t>E. 3.2</w:t>
      </w:r>
    </w:p>
    <w:p>
      <w:r>
        <w:t>Anzeichen für eine zwischenzeitlich eingetretene Veränderung des Gesundheitszustandes sind nicht ersichtlich und werden auch nicht vorge-</w:t>
      </w:r>
    </w:p>
    <w:p>
      <w:r>
        <w:t>Urteil des Verwaltungsgerichts des Kantons Bern vom 31. Jan. 2017, UV/16/594, Seite 7 bracht. Es ist jedoch eine Änderung in erwerblicher Hinsicht eingetreten. Im Zeitpunkt der Verfügung vom 16. April 2009 (act. IIA 249) war der Be- schwerdeführer teilzeitlich (Präsentzeit ca. 60 %, Leistungsfähigkeit ca. 45 %) als ... im E.________ tätig (act. IIA 243). Die Invaliditätsbemessung wurde auf Basis des dabei erzielten Lohnes vorgenommen (act. IIA 249). Dieses Arbeitsverhältnis wurde infolge Betriebsschliessung (act. IIA 252) aufgelöst und seit dem 1. September 2010 arbeitet der Beschwerdeführer bei der D.______AG als ... (act. IIA 262, 266, 268). Im Frühjahr 2014 stei- gerte er zudem das Arbeitspensum von 40 % (act. IIA 266, 268) auf nun- mehr 50 % (act. IIB 293, 301 S. 3 ff., 311). Diese erwerblichen Verände- rungen - Stellenwechsel, unterschiedliche Tätigkeit, Steigerung des Ar- beitspensums - sind grundsätzlich geeignet, sich auf den IV-Grad auszu- wirken. Ein Revisionsgrund ist somit ausgewiesen, was auch vom Be- schwerdeführer nicht bestritten wird. Im Folgenden ist umfassend zu prü- fen, ob sich der IV-Grad effektiv in dem für eine Rentenrevision erforderli- chen erheblichen Ausmass verändert hat (vgl. E. 2.3.2 hiervor).</w:t>
      </w:r>
    </w:p>
    <w:p>
      <w:r>
        <w:rPr>
          <w:b/>
        </w:rPr>
        <w:t>E. 4</w:t>
      </w:r>
    </w:p>
    <w:p>
      <w:r>
        <w:t>Zur Bestimmung des IV-Grades ist ein Einkommensvergleich vor- zunehmen. Massgebend sind dabei die tatsächlichen Verhältnisse im Zeit- punkt der allfälligen Rentenrevision, d.h. vorliegend diejenigen des Jahres 2014 (Entscheid des Eidgenössischen Versicherungsgerichts [heute Bun- desgericht {BGer}] vom 3. Juli 2006, I 86/06, E. 4).</w:t>
      </w:r>
    </w:p>
    <w:p>
      <w:r>
        <w:rPr>
          <w:b/>
        </w:rPr>
        <w:t>E. 4.1</w:t>
      </w:r>
    </w:p>
    <w:p>
      <w:r>
        <w:t>S. 325). Für die Berücksichtigung einer beruflichen Weiterentwicklung müssen pra- xisgemäss konkrete Anhaltspunkte dafür bestehen, dass die versicherte Person einen beruflichen Aufstieg und ein entsprechend höheres Einkom- men tatsächlich realisiert hätte, wenn sie nicht invalid geworden wäre. So- dann genügen blosse Absichtserklärungen der versicherten Person nicht. Vielmehr muss die Absicht, beruflich weiterzukommen, durch konkrete Schritte wie Kursbesuche, Aufnahme eines Studiums, Ablegung von Prü- fungen usw. kundgetan worden sein. Bei der Prüfung der mutmasslichen beruflichen Entwicklung können unter Umständen aus einer besonderen beruflichen Qualifizierung im Invaliditätsfall Rückschlüsse auf die hypotheti- sche Entwicklung gezogen werden, zu der es ohne Eintritt des Gesund- heitsschadens gekommen wäre. Nach der Rechtsprechung ist eine solche Annahme unter anderem dann zulässig, wenn die angestammte Tätigkeit weitergeführt werden kann. Indessen darf aus einer erfolgreichen Invali- denkarriere in einem neuen Tätigkeitsbereich nicht ohne Weiteres abgelei- tet werden, die versicherte Person hätte ohne Invalidität eine vergleichbare Position auch im angestammten Tätigkeitsgebiet erreicht (SVR 2010 UV Nr. 13 S. 52 E. 4.1). Konnte der Versicherte wegen einer Invalidität, welche die Folge eines ver- sicherten Unfalles ist, eine nachweislich geplante und seinen Fähigkeiten entsprechende berufliche Ausbildung nicht aufnehmen oder eine begonne- ne Ausbildung nicht abschliessen, so ist für die Bestimmung des Invali- ditätsgrades dasjenige Erwerbseinkommen massgebend, das er ohne die Invalidität in jenem Beruf erzielen könnte (Art. 28 Abs. 1 der Verordnung über die Unfallversicherung vom 20. Dezember 1982 [UVV; SR 832.202]).</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31. Jan. 2017, UV/16/594, Seite 8 nötigenfalls der Teuerung und der realen Einkommensentwicklung ange- passten Verdienst angeknüpft (BGE 139 V 28 E. 3.3.2 S. 30, 134 V 322 E.</w:t>
      </w:r>
    </w:p>
    <w:p>
      <w:r>
        <w:rPr>
          <w:b/>
        </w:rPr>
        <w:t>E. 4.2.2</w:t>
      </w:r>
    </w:p>
    <w:p>
      <w:r>
        <w:t>Die Beschwerdegegnerin ermittelte das Valideneinkommen von Fr. 63‘570.-- (Fr. 4‘890.-- x 13 Monate) gestützt auf den Mindestlohn eines ... mit zehnjähriger Berufserfahrung gemäss Gesamtarbeitsvertrag (GAV) für das ... ([abrufbar unter &lt;www.....ch&gt; oder &lt;www.gav-service.ch&gt;]; act. IIB 307, 313 S. 2, 326 S. 8).</w:t>
      </w:r>
    </w:p>
    <w:p>
      <w:r>
        <w:t>Urteil des Verwaltungsgerichts des Kantons Bern vom 31. Jan. 2017, UV/16/594, Seite 9 Der Beschwerdeführer bringt dagegen vor, die Beschwerdegegnerin ver- kenne mit dieser Annahme, dass heute ein hoher Prozentsatz der Arbeit- nehmenden nicht mehr im angestammten Beruf tätig sei und die Weiterbil- dung einen höheren Stellenwert einnehme. Eine solche berufliche Entwick- lung gelte es zu berücksichtigen. Er habe einen Lehrvertrag abgeschlos- sen, welcher ihn nach der Lehre zum Abschluss als ... hätte führen sollen. Da der Lehrmeister offenbar um seinen Ruf als Lehrmeister besorgt gewe- sen sei, sei die Lehre als ... abgeschlossen worden. Für ihn sei aber klar gewesen, dass er nach Absolvierung der Rekrutenschule seine Ausbildung fortgesetzt und das Fähigkeitszeugnis als ... erworben hätte (vgl. Be- schwerde S. 6 f.). Dass er den Ehrgeiz gehabt hätte, die Lehre zum ... ab- zuschliessen, lasse sich auch daraus ableiten, dass er sein Arbeitspensum im Frühjahr 2014 unbedingt um einen Viertel auf 50 % habe erhöhen wol- len (vgl. Beschwerde S. 8).</w:t>
      </w:r>
    </w:p>
    <w:p>
      <w:r>
        <w:rPr>
          <w:b/>
        </w:rPr>
        <w:t>E. 4.2.3</w:t>
      </w:r>
    </w:p>
    <w:p>
      <w:r>
        <w:t>Unbestritten und aufgrund der Akten erstellt ist, dass der Beschwer- deführer nach begonnener Lehre zum ... eine Anlehre zum ... erfolgreich abgeschlossen hat (act. IIB 319) und nach deren Abschluss bzw. kurz vor Eintritt in die Rekrutenschule verunfallte. Auch wenn der Beschwerdeführer im Anschluss an diese Anlehre seinen erlernten Beruf nie ausübte, ist da- von auszugehen, dass er im Gesundheitsfall als ... tätig wäre. So führte er denn selbst anlässlich einer Besprechung im Dezember 2004 aus, ohne Unfall würde er vermutlich als ... tätig sein; konkrete Weiterbildungsabsich- ten hätten nicht bestanden (act. II 31). Die Rechtsprechung verlangt zur Berücksichtigung von hypothetischen (d.h. ohne gesundheitliche Einbusse erfolgenden) beruflichen Aufstiegen (mit daraus resultierendem höheren Einkommen), dass eine solche Entwicklung sehr wahrscheinlich sein muss (dazu SVR 2013 UV Nr. 4, 8C_145/2012, E. 3.1). Ausgeschlossen sind also „rein theoretische“ Aufstiegsmöglichkeiten (dazu SVR 2010 IV Nr. 49, 9C_85/2009, E. 3.7 mit Hinweis auf U 222/97). Auch bei jüngeren Versi- cherten, welche erst am Anfang einer beruflichen Laufbahn stehen, bzw. diese Laufbahn noch gar nicht betreten haben (dazu SVR 2010 UV Nr. 13, 8C_677/2009 E. 4.2) müssen zur Annahme eines Aufstiegs bei Eintritt des Gesundheitsschadens bereits konkrete Anhaltspunkte bestanden haben (SVR 2010 UV Nr. 13, 8C_677/2009, E. 4.2; UELI KIESER, Kommentar zum ATSG, 3. Aufl. 2015, Art. 16 N. 34). Entgegen der nunmehr vertretenen</w:t>
      </w:r>
    </w:p>
    <w:p>
      <w:r>
        <w:t>Urteil des Verwaltungsgerichts des Kantons Bern vom 31. Jan. 2017, UV/16/594, Seite 10 Auffassung des Beschwerdeführers ist nicht erstellt, dass er eine Lehre zum ... abgeschlossen hätte. Aus den Akten sind keine konkreten Anhalts- punkte zu entnehmen, dass er einen beruflichen Aufstieg und damit ein höheres Einkommen tatsächlich realisiert hätte, wenn er nicht invalid ge- worden wäre. Die ursprünglich begonnene ... Lehre vermag eine entspre- chende berufliche Entwicklung nicht zu belegen, wurde diese doch gerade in eine Anlehre zum ... umgewandelt (act. IIB 319). Bestrebungen um im Anschluss an die Anlehre die Ausbildung zum ... zu absolvieren, sind ak- tenmässig nicht ersichtlich. Auch wenn sich der Unfall zwischen Anlehrab- schluss und Beginn der Rekrutenschule ereignet hatte, wäre bei tatsächlich beabsichtigter Weiterbildung zum ... zu erwarten gewesen, dass sich der Beschwerdeführer bereits um eine geeignete Ausbildungsstätte bemüht hätte. Eine Anwendung von Art. 28 Abs. 1 UVV ist damit ausgeschlossen. Ebensowenig lassen die Steigerungen der Arbeitspensen beim ehemaligen wie auch beim aktuellen Arbeitgeber einen Rückschluss auf die Validenkar- riere zu, zumal auch die Gutachter der MEDAS eine Steigerung um 5 – 10 %, ausgehend von einem 40 % Pensum, als möglich einschätzen (act. IIB 287 S. 60 und S. 63). Zu beachten ist ebenso, dass der Beschwer- deführer im Rahmen dieser Arbeitsverhältnisse keine Weiterbildungen ab- solvierte. Auch dieser Umstand spricht gegen die vom Beschwerdeführer geltend gemachte berufliche Fortbildung zum .... An dieser Beurteilung vermag auch nichts zu ändern, dass der heutige Arbeitgeber im Fragebo- gen der Invalidenversicherung ausführte, sein Mitarbeiter würde ohne Ge- sundheitsschaden nicht in dieser Tätigkeit arbeiten, sondern eventuell als ... (act. IIB 316 Ziff. 2.11). Hierbei handelt es sich um eine blosse Annah- me, die keinen Rückhalt in den Akten findet. In Anbetracht dieser Ausgangslage hat die Beschwerdegegnerin zu Recht bei der Ermittlung des Valideneinkommens auf den Mindestlohn eines ... gemäss GAV für das ... abgestellt. Nach der Lohntabelle 1 2014 des GAV beträgt der monatliche Mindestlohn ab dem zehnten Erfahrungsjahr Fr. 4‘890.-- (GAV-Anhang 1). Für weitere Erfahrungsjahre sieht der GAV keine lohnmässige Berücksichtigung mehr vor. Der Mindestlohn setzt sich aus dem Grundlohn (Art. 26a GAV), dem Lohnindex (Art. 26b GAV), der Anstellungsfunktion (Art. 26c GAV), der Fortbildung (Art. 26d GAV) und der Erfahrung in der Funktion (Art. 26e GAV) zusammen. Vor diesem Hinter-</w:t>
      </w:r>
    </w:p>
    <w:p>
      <w:r>
        <w:t>Urteil des Verwaltungsgerichts des Kantons Bern vom 31. Jan. 2017, UV/16/594, Seite 11 grund kann dem Beschwerdeführer nicht gefolgt werden, wenn er vorbringt, es sei realitätsfremd davon auszugehen, dass während der restlichen 30 oder 40 Jahren Berufstätigkeit in dieser Sparte keine Reallohnerhöhung mehr stattfinde (vgl. Beschwerde S. Ziff. 3). Im Mindestlohn werden Lohnanpassungen durch Jahresteuerung gemäss Landesindex für Konsu- mentenpreise und/oder Kaufkraftanpassungen ausdrücklich berücksichtigt (Art. 26b GAV). Hinzu kommt, dass die Arbeitgeberorganisation ... Schweiz sowie die Arbeitnehmerorganisationen Syna, Unia, Baukader Schweiz und KV Schweiz die Mindestlöhne regelmässig mittels Zusatzvereinbarung zum GAV anpassen (vgl. Zusatzvereinbarungen 2010 - 2014 zum GAV, abruf- bar unter www. ....ch). Das auf der Basis des GAV (inkl. Lohntabelle 1) be- rechnete Valideneinkommen von Fr. 63‘570.-- (Fr. 4‘890.-- x 13 Monate) ist damit nicht zu beanstanden.</w:t>
      </w:r>
    </w:p>
    <w:p>
      <w:r>
        <w:rPr>
          <w:b/>
        </w:rPr>
        <w:t>E. 4.3</w:t>
      </w:r>
    </w:p>
    <w:p>
      <w:r>
        <w:t>Für die Festsetzung des Invalideneinkommens ist primär von der beruflich-erwerblichen Situation auszugehen, in welcher die versicherte Person konkret steht (BGE 139 V 592 E. 2.3 S. 593; SVR 2014 IV Nr. 37 S. 133 E. 7.1).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 Die Beschwerdegegnerin hat das vom Beschwerdeführer bei der D.______AG tatsächlich erzielte Erwerbseinkommen als Invalideneinkom- men für die Invaliditätsbemessung herangezogen. Dies ist nicht zu bean- standen, erfüllt doch die entsprechende Tätigkeit die vorgenannten Vor- aussetzungen, was unter den Parteien denn auch unbestritten ist (act. IIB 301, 312 f., 326 S. 5; vgl. Beschwerde S. 5 Ziff. 7). Wie die Be- schwerdegegnerin zutreffend ausführte, besteht das Arbeitsverhältnis seit dem 1. September 2010 (act. IIA 262) und die Tätigkeit als ... entspricht dem im polydisziplinären Gutachten der MEDAS vom 29. November 2012 formulierten Zumutbarkeitsprofil (act. IIB 287 S. 60), womit der Beschwer- deführer die verbleibende Arbeitsfähigkeit in zumutbarer Weise voll aus-</w:t>
      </w:r>
    </w:p>
    <w:p>
      <w:r>
        <w:t>Urteil des Verwaltungsgerichts des Kantons Bern vom 31. Jan. 2017, UV/16/594, Seite 12 schöpft. Das jährliche Gehalt bei einem Arbeitspensum von 50 % (89.25 h / Monat) unter Berücksichtigung eines Brutto-Stundenansatz von Fr. 30.70 (Jahr 2014) beträgt Fr. 35‘619.70 (89.25 h x Fr. 30.70 x 13 Mona- te).</w:t>
      </w:r>
    </w:p>
    <w:p>
      <w:r>
        <w:rPr>
          <w:b/>
        </w:rPr>
        <w:t>E. 4.4</w:t>
      </w:r>
    </w:p>
    <w:p>
      <w:r>
        <w:t>Aus der Gegenüberstellung der Vergleichseinkommen (vgl. E. 4.2.3 und 4.3 hiervor) resultiert eine Erwerbseinbusse von Fr. 27‘950.30 und damit ein IV-Grad von gerundet 44 % (Fr. 27‘950.30 / Fr. 63‘570.-- x 100 [zur Rundung: vgl. BGE 130 V 121 E. 3.2 S. 123]). Angesichts der Differenz des IV-Grades von mehr als 10 % gegenüber der Verfügung vom 16. April 2009 (IV-Grad von 60 %; act. IIA 249) liegt eine erhebliche Änderung vor, weshalb die Voraussetzungen für eine revisionsweise Herabsetzung der Rente erfüllt sind (Entscheid des BGer vom 4. Oktober 2016, 8C_475/2016, E. 2.3.3.2).</w:t>
      </w:r>
    </w:p>
    <w:p>
      <w:r>
        <w:rPr>
          <w:b/>
        </w:rPr>
        <w:t>E. 4.5</w:t>
      </w:r>
    </w:p>
    <w:p>
      <w:r>
        <w:t>Hinsichtlich der vom Arbeitgeber gewährten Erhöhung des Stun- denansatzes von Fr. 30.70 für das 2014 auf Fr. 31.10 für das Jahr 2015 (act. IIB 301) ist festzuhalten, dass daraus keine erhebliche Sachver- haltsänderung resultiert. Ausgehend von einem Valideneinkommen von Fr. 63‘570.-- (GAV 2015 Lohntabelle 1 [abrufbar unter &lt;www. ....ch&gt;]: Fr. 4‘890.-- x 13 Monate) und einem Invalideneinkommen von Fr. 36‘083.80 (Fr. 89.25 h x Fr. 31.10 x 13 Monate) ergibt sich eine Erwerbseinbusse von Fr. 27‘486.20 und damit ein IV-Grad von gerundet 43 % (Fr. 27‘486.20 / Fr. 63‘570.-- x 100). Verglichen mit dem zuvor festgesetzten IV-Grad von 44 % (vgl. E. 4.4 hiervor) liegt keine absolute Veränderung von 5 % vor (Entscheid des BGer vom 4. Oktober 2016, 8C_475/2016, E. 2.3.3.2).</w:t>
      </w:r>
    </w:p>
    <w:p>
      <w:r>
        <w:rPr>
          <w:b/>
        </w:rPr>
        <w:t>E. 4.6</w:t>
      </w:r>
    </w:p>
    <w:p>
      <w:r>
        <w:t>Nach dem Dargelegten ist die Herabsetzung der Invalidenrente der Unfallversicherung auf 44 % per 1. Januar 2015 nicht zu beanstanden. Demnach erweist sich der die Verfügung vom 30. März 2015 (act. IIB 313) bestätigende Einspracheentscheid vom 20. Mai 2016 (act. IIB 326) als kor- rekt und die dagegen erhobene Beschwerde ist abzuweisen.</w:t>
      </w:r>
    </w:p>
    <w:p>
      <w:r>
        <w:rPr>
          <w:b/>
        </w:rPr>
        <w:t>E. 5.1</w:t>
      </w:r>
    </w:p>
    <w:p>
      <w:r>
        <w:t>Verfahrenskosten sind keine zu erheben (Art. 1 Abs. 1 UVG i.V.m. Art. 61 lit. a ATSG).</w:t>
      </w:r>
    </w:p>
    <w:p>
      <w:r>
        <w:t>Urteil des Verwaltungsgerichts des Kantons Bern vom 31. Jan. 2017, UV/16/594, Seite 13</w:t>
      </w:r>
    </w:p>
    <w:p>
      <w:r>
        <w:rPr>
          <w:b/>
        </w:rPr>
        <w:t>E. 5.2</w:t>
      </w:r>
    </w:p>
    <w:p>
      <w:r>
        <w:t>Bei diesem Verfahrensausgang hat der unterliegende Beschwerde- führer keinen Anspruch auf eine Parteientschädigung (Umkehrschluss aus Art. 1 Abs. 1 UVG i.V.m. Art. 61 lit. g ATSG). Demnach entscheidet das Verwaltungsgericht: 1. Die Beschwerde wird abgewiesen. 2. Es werden weder Verfahrenskosten erhoben noch eine Parteientschä- digung zugesprochen. 3. Zu eröffnen (R): - Fürsprecherin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