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774 vom 3. März 2016</w:t>
      </w:r>
    </w:p>
    <w:p>
      <w:r>
        <w:t>BE Verwaltungsgericht, 2016-03-03, DE</w:t>
      </w:r>
    </w:p>
    <w:p>
      <w:r>
        <w:rPr>
          <w:b/>
        </w:rPr>
        <w:t xml:space="preserve">Quelle: </w:t>
      </w:r>
      <w:r>
        <w:t>https://mcp.opencaselaw.ch/entscheid/be_verwaltungsgericht_200_2015_774</w:t>
      </w:r>
    </w:p>
    <w:p>
      <w:r>
        <w:t>FR: BE_VERWALTUNGSGERICHT 200 2015 774 du 3 mars 2016</w:t>
      </w:r>
    </w:p>
    <w:p>
      <w:r>
        <w:t>IT: BE_VERWALTUNGSGERICHT 200 2015 774 del 3 marzo 2016</w:t>
      </w:r>
    </w:p>
    <w:p>
      <w:pPr>
        <w:pStyle w:val="Heading2"/>
      </w:pPr>
      <w:r>
        <w:t>Regeste</w:t>
      </w:r>
    </w:p>
    <w:p>
      <w:r>
        <w:t>Verfügung vom 16. Juli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16. Juli 2015 (act. II 27). Streitig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 März 2016, IV/15/774, Seite 4</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3. März 2016, IV/15/774, Seite 5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ergibt sich aus den Akten im Wesentlichen das Folgende:</w:t>
      </w:r>
    </w:p>
    <w:p>
      <w:r>
        <w:rPr>
          <w:b/>
        </w:rPr>
        <w:t>E. 3.1.1</w:t>
      </w:r>
    </w:p>
    <w:p>
      <w:r>
        <w:t>Dr. med. C.________, Facharzt für Rheumatologie FMH, diagnosti- zierte im Bericht vom 1. Juni 2012 (act. II 17 S. 2 ff.) eine Polyarthrose der Finger (ANA-, CCP-Antikörper- und Rheumafaktor negativ; aktuell aktivierte Heberdenarthrosen Dig II bis V bds), ein Lumbovertebralsyndrom sowie einen Verdacht auf TFCC-Läsion links (differentialdiagnostisch: Ulnar- Abutment, Tenosynovitis der Extensor-carpi-ulnaris). Seit Jahren bestün- den rezidivierende belastungsabhängige Schmerzen der DIP- und der PIP- Gelenke beider Hände mit Überwärmung der Gelenke. Ulnokarpal links bestehe eine druckdolente Schwellung, sonst sei der Befund unauffällig. Aufgrund der vorwiegenden Belastungsabhängigkeit der Beschwerden so- wie der klinischen Untersuchung mit Heberdenknoten Finger II bis V beid- seits, führte Dr. med. C.________ die Fingergelenkbeschwerden am ehes- ten auf eine Polyarthrose zurück. Eine deutliche Rötung aller Heberdenkno- ten spreche für eine entzündliche Aktivierung dieser Gelenke. Fehlende nächtliche Gelenksschmerzen, eine fehlende morgendliche Betonung der Gelenksschmerzen, unauffällige Rheumatologie-spezifische Serologien sowie eine fehlende Erhöhung der Entzündungswerte würden eher gegen eine systemische entzündliche Gelenkserkrankung sprechen.</w:t>
      </w:r>
    </w:p>
    <w:p>
      <w:r>
        <w:rPr>
          <w:b/>
        </w:rPr>
        <w:t>E. 3.1.2</w:t>
      </w:r>
    </w:p>
    <w:p>
      <w:r>
        <w:t>Die Ärzte des Spitals D.________ hielten im Bericht vom 7. Januar 2015 (act. II 19 S. 7) bei Nackenschmerzen und Osteochondrose fest, es liege eine Fehlhaltung (Streckhaltung) der Halswirbelsäule vor. Es bestehe eine homogene Knochenstruktur, keine ossären Läsionen und die Interver- tebralräume seien normal breit. Weiter seien keine wesentlichen degenera-</w:t>
      </w:r>
    </w:p>
    <w:p>
      <w:r>
        <w:t>Urteil des Verwaltungsgerichts des Kantons Bern vom 3. März 2016, IV/15/774, Seite 6 tiven oder anderen pathologischen Veränderungen sowie keine Weichteil- schwellung auszumachen.</w:t>
      </w:r>
    </w:p>
    <w:p>
      <w:r>
        <w:rPr>
          <w:b/>
        </w:rPr>
        <w:t>E. 3.1.3</w:t>
      </w:r>
    </w:p>
    <w:p>
      <w:r>
        <w:t>Mit Schreiben vom 25. März 2015 (act. II 17 S. 1) führte Dr. med. C.________ zuhanden der Beschwerdegegnerin aus, dass bezüglich der Arbeitsfähigkeit keine Stellungnahme erfolgen könne, da die Beschwerde- führerin seit drei Jahren nicht mehr in seiner Behandlung stehe.</w:t>
      </w:r>
    </w:p>
    <w:p>
      <w:r>
        <w:rPr>
          <w:b/>
        </w:rPr>
        <w:t>E. 3.1.4</w:t>
      </w:r>
    </w:p>
    <w:p>
      <w:r>
        <w:t>Im Bericht vom 26. April 2015 (act. II 19 S. 2 ff.) führte Dr. med. E.________, Facharzt für Allgemeine Innere Medizin FMH, die nachste- henden Diagnosen aus: Polyarthrosen mit Hüftarthrosen bei knapper Über- dachung, Polyarthrosen der Finger und TFCC-Läsion (bestehend seit 2012) sowie ein Lumbovertebralsyndrom ICD-10 F32.1 (bestehend seit 2013). Seit 24. November 2014 bestehe als … eine andauernde Arbeitsun- fähigkeit von 60 %. Diese Arbeit sei wegen der Gelenksaktivierung nur noch ca. halbtags bei einer schmerzbedingten Verlangsamung bzw. Leis- tungsminderung von 20 % möglich. Die ursprünglich erlernte Tätigkeit als … sei nicht mehr zumutbar. Mit einer Wiederaufnahme der beruflichen Tätigkeit bzw. Erhöhung der Einsatzfähigkeit könne nicht gerechnet wer- den. Dr. med. E.________ hielt ergänzend fest, dass in einer geeigneten Tätigkeit ohne Heben von Lasten und in sitzender Arbeitsposition eigentlich eine volle Arbeitsfähigkeit möglich sein sollte. Ganztags zumutbar seien rein sitzende sowie wechselbelastende Tätigkeiten.</w:t>
      </w:r>
    </w:p>
    <w:p>
      <w:r>
        <w:rPr>
          <w:b/>
        </w:rPr>
        <w:t>E. 3.1.5</w:t>
      </w:r>
    </w:p>
    <w:p>
      <w:r>
        <w:t>Die RAD-Ärztin med. pract. F.________, Fachärztin für Physikali- sche Medizin und Rehabilitation FMH, hielt im Aktenbericht vom 13. Mai 2015 (act. II 20) fest, die Beschwerdeführerin sei seit drei Jahren wegen ihrer Polyarthrose nicht mehr in Behandlung beim Rheumatologen gewe- sen. Dr. med. C.________ selbst habe geschrieben, dass die Beschwerde- führerin medikamentös gut eingestellt worden sei und somit keine Ein- schränkungen mehr bestanden hätten (vgl. act. II 17 S. 2 f.). Dies werde auch durch das Zeugnis des Hausarztes von 2015 bestätigt (vgl. act. II 19 S. 2 ff.). Sowohl die erlernte leichte Tätigkeit als … wie auch jede andere leichte Tätigkeit sei der Beschwerdeführerin schon seit Jahren ganztags ohne Leistungsminderung zumutbar.</w:t>
      </w:r>
    </w:p>
    <w:p>
      <w:r>
        <w:t>Urteil des Verwaltungsgerichts des Kantons Bern vom 3. März 2016, IV/15/774, Seite 7</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3.2.2</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w:t>
      </w:r>
    </w:p>
    <w:p>
      <w:r>
        <w:t>Urteil des Verwaltungsgerichts des Kantons Bern vom 3. März 2016, IV/15/774, Seite 8</w:t>
      </w:r>
    </w:p>
    <w:p>
      <w:r>
        <w:rPr>
          <w:b/>
        </w:rPr>
        <w:t>E. 3.2.3</w:t>
      </w:r>
    </w:p>
    <w:p>
      <w:r>
        <w:t>Sofern RAD-Untersuchungsberichte den Anforderungen an ein ärzt- liches Gutachten (BGE 125 V 351 E. 3a S. 352) genügen, auch hinsichtlich der erforderlichen ärztlichen Qualifikationen, haben sie einen vergleichba- ren Beweiswert wie ein anderes Gutachten (SVR 2009 IV Nr. 53 S. 165 E. 3.3.2). Der RAD steht den IV-Stellen zur Beurteilung der medizinischen Voraussetzungen des Leistungsanspruchs zur Verfügung. Er setzt die für die Invalidenversicherung nach Art. 6 ATSG massgebende funktionelle Leistungsfähigkeit der Versicherten fest, eine zumutbare Erwerbstätigkeit oder Tätigkeit im Aufgabenbereich auszuüben (Entscheid des Bundesge- richts [BGer] vom 3. Oktober 2014, 8C_197/2014, E. 4.1). Nicht zwingend erforderlich ist, dass die versicherte Person untersucht wird. Nach Art. 49 Abs. 2 der Verordnung über die Invalidenversicherung vom 17. Januar 1961 (IVV; SR 831.201) führt der RAD für die Beurteilung der medizini- schen Voraussetzungen des Leistungsanspruchs nur „bei Bedarf“ selber ärztliche Untersuchungen durch. In den übrigen Fällen stützt er seine Beur- teilung auf die vorhandenen ärztlichen Unterlagen ab. Das Absehen von eigenen Untersuchungen ist somit nicht an sich ein Grund, um einen RAD- Bericht in Frage zu stellen. Dies gilt insbesondere, wenn es im Wesentli- chen um die Beurteilung eines feststehenden medizinischen Sachverhalts geht und die direkte ärztliche Befassung mit der versicherten Person in den Hintergrund rückt (Entscheid des BGer vom 25. März 2011, 9C_58/2011, E. 2.2).</w:t>
      </w:r>
    </w:p>
    <w:p>
      <w:r>
        <w:rPr>
          <w:b/>
        </w:rPr>
        <w:t>E. 3.2.4</w:t>
      </w:r>
    </w:p>
    <w:p>
      <w:r>
        <w:t>Die versicherte Person hat von Bundesrechts wegen keinen formel- len Anspruch auf Beizug eines versicherungsexternen Gutachtens, wenn Leistungsansprüche streitig sind. Es ist auch im Lichte der von Art. 6 Ziff. 1 der Europäischen Menschenrechtskonvention (EMRK; SR 0.101) gewähr- leisteten Verfahrensgarantien grundsätzlich zulässig, den Entscheid aus- schlaggebend oder gar ausschliesslich auf verwaltungsinterne Abklärungen zu stützen (BGE 123 V 175 E. 3d S. 176, 122 V 157 E. 2c S. 165).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die Partei beweisen</w:t>
      </w:r>
    </w:p>
    <w:p>
      <w:r>
        <w:t>Urteil des Verwaltungsgerichts des Kantons Bern vom 3. März 2016, IV/15/774, Seite 9 will, nicht rechtserheblich erscheint (BGE 122 V 157 E. 1d S. 162). In ei- nem solchen Vorgehen liegt kein Verstoss gegen das rechtliche Gehör gemäss Art. 29 Abs. 2 der Bundesverfassung ([BV; SR 101]; BGE 136 I 229 E. 5.3 S. 236). Auch das Fairnessgebot von Art. 6 Ziff. 1 EMRK gewährt in diesem Zusammenhang keinen zusätzlichen Schutz (BGE 124 V 90 E. 4b S. 94).</w:t>
      </w:r>
    </w:p>
    <w:p>
      <w:r>
        <w:rPr>
          <w:b/>
        </w:rPr>
        <w:t>E. 3.3</w:t>
      </w:r>
    </w:p>
    <w:p>
      <w:r>
        <w:t>Die Beschwerdegegnerin hat sich in der hier angefochtenen Verfü- gung vom 16. Juli 2015 (act. II 27) massgeblich auf den Bericht der RAD- Ärztin med. pract. F.________ vom 13. Mai 2015 (act. II 20) gestützt. Dies ist nicht zu beanstanden. Aus den medizinischen Unterlagen geht einleuchtend und nachvollziehbar hervor, dass die Beschwerdeführerin unter einer Polyarthrose leidet, wobei die Beschwerden mit der Einnahme von Mefenacid deutlich verbessert werden konnten (act. II 17 S. 2). Dr. med. C.________ sah denn auch im Juni 2012 keine weiteren Kontrollen vor (act. II 17 S. 3) und die Beschwer- deführerin suchte den Rheumatologen in der Folge nicht mehr auf (act. II 17 S. 1). Der die Beschwerdeführerin seit 28. August 2006 behandelnde Hausarzt Dr. med. E.________ führte am 26. April 2015 (act. II 19 S. 2 ff.) zu den beklagten belastungsabhängigen Schmerzen aus, dass bei Bedarf eine Schmerztherapie empfohlen werde. Nach wie vor wurde Mefenacid als aktuelle Medikation aufgeführt (S. 3 Ziff. 1.5). Die Einschätzung von med. pract. F.________ wird insbesondere auch durch den Hinweis von Dr. med. E.________, wonach in einer geeigneten Tätigkeit ohne Heben von Lasten und in sitzender Arbeitsposition eigentlich eine volle Arbeitsfähigkeit mög- lich sein sollte (act. II 19 S. 4 Ziff. 1.11), weitgehend gestützt. Führte er doch weiter aus, dass rein sitzende sowie wechselbelastende Tätigkeiten ganztags zumutbar seien (act. II 19 S. 6). Zwar attestiert er der Beschwer- deführerin in der zuletzt ausgeübten Tätigkeit als … eine seit 24. November 2014 andauernde Arbeitsunfähigkeit von 60 %, jedoch ergibt sich aus dem bei den Akten liegenden Lebenslauf (act. II 15) eine andere zuletzt aus- geübte Tätigkeit. Im Jahr 2010 hat sie in einer … am … mitgeholfen, von 2011 bis 2013 war sie als … in einer … tätig und im Jahr 2013 war sie in einer … für die … verantwortlich. Aufgrund dieser Umstände ist davon aus- zugehen, dass auch der Hausarzt Dr. med. E.________ eine dem Be-</w:t>
      </w:r>
    </w:p>
    <w:p>
      <w:r>
        <w:t>Urteil des Verwaltungsgerichts des Kantons Bern vom 3. März 2016, IV/15/774, Seite 10 schwerdebild Rechnung tragende angepasste Tätigkeit ganztags und ohne Leistungsminderung als zumutbar erachtet. Weiter hielten die Ärzte des Spitals D.________ anlässlich der Untersu- chung vom 7. Januar 2015 eine Fehlhaltung der Halswirbelsäule fest. Da jedoch keine auffälligen Befunde – homogene Knochenstruktur, keine ossären Läsionen, normal breite Intervertebralräume, keine wesentlichen degenerativen oder anderen pathologischen Veränderungen, keine Weich- teilschwellung – festgehalten wurden (vgl. act. II 19 S. 7 bzw. E. 3.1.2 hier- vor), lässt sich auch aus den geltend gemachten Nackenschmerzen zu Recht kein Leistungsanspruch gegenüber der Beschwerdegegnerin ablei- ten. Mit Blick auf die medizinischen Unterlagen bestand für die Beschwerde- gegnerin (bzw. besteht nach wie vor) keine Veranlassung zu weiteren Ab- klärungen. Die Schlussfolgerung, dass der Beschwerdeführerin jede leichte Tätigkeit ganztags ohne Leistungsminderung zumutbar ist (act. II 20 S. 2), überzeugt, wogegen die erlernte Tätigkeit als … infolge der damit verbun- denen … Arbeiten kaum als geeignet eingestuft werden kann, was aber am Ausgang des vorliegenden Verfahrens nichts ändert. Der beschwerdeweise geltend gemachte Hinweis, wonach der Beruf als … nicht mehr ausgeübt werden könne, weil es hierorts keine produzierenden … mehr gebe (Be- schwerde S. 5 Art. 5), ist im Übrigen als IV-fremder Faktor nicht von Rele- vanz bzw. erklärt, weshalb sie auch als Gesunde nicht mehr auf diesem Beruf arbeiten würde. An der ermittelten Arbeitsfähigkeit vermag auch die von der G.________ ausgestellte „ärztliche Bestätigung“ vom 20. Juni 2015 (act. II 26 S. 1) nichts zu ändern. Zunächst wird die Bestätigung nicht von einem (Fach-)Arzt, sondern von Frau H.________, TCM-Therapeutin für Chinesische Medizin (vgl. hierzu auch www.G.________.ch), unterzeich- net. Es wird zwar von starken Schmerzen an Fingern und Gelenken berich- tet und um finanzielle Unterstützung der Behandlung ersucht, eine Angabe über eine allfällige Arbeitsunfähigkeit erfolgt jedoch nicht. Nebst dem fehlt denn auch eine (fachärztliche) Befunderhebung und Anamnese.</w:t>
      </w:r>
    </w:p>
    <w:p>
      <w:r>
        <w:rPr>
          <w:b/>
        </w:rPr>
        <w:t>E. 3.4</w:t>
      </w:r>
    </w:p>
    <w:p>
      <w:r>
        <w:t>Nach dem Dargelegten sind weitere Abklärungen, welche vorab durch die Verwaltung vorzunehmen wären, nicht erforderlich (antizipierte Beweiswürdigung, vgl. BGE 122 V 157 E. 1d S. 162). Es bestehen keine</w:t>
      </w:r>
    </w:p>
    <w:p>
      <w:r>
        <w:t>Urteil des Verwaltungsgerichts des Kantons Bern vom 3. März 2016, IV/15/774, Seite 11 gesundheitlichen Beeinträchtigungen, die sich in einer angepassten Tätig- keit auf die Arbeits- und Leistungsfähigkeit der Beschwerdeführerin auswir- ken. Eine Invalidität im Sinne von Art. 8 ATSG liegt nicht vor und es fehlt somit an der grundsätzlichen Voraussetzung zum Leistungsbezug. Dem- nach erweist sich die Verfügung vom 16. Juli 2015 (act. II 27) als rechtens und die dagegen erhobene Beschwerde ist abzuweisen.</w:t>
      </w:r>
    </w:p>
    <w:p>
      <w:r>
        <w:rPr>
          <w:b/>
        </w:rPr>
        <w:t>E. 4</w:t>
      </w:r>
    </w:p>
    <w:p>
      <w:r>
        <w:t>Zu eröffnen (R): - Rechtsanwalt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rPr>
          <w:b/>
        </w:rPr>
        <w:t>E. 4.2</w:t>
      </w:r>
    </w:p>
    <w:p>
      <w:r>
        <w:t>Vorliegend besteht kein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3. März 2016, IV/15/774,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