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647 vom 24. August 2015</w:t>
      </w:r>
    </w:p>
    <w:p>
      <w:r>
        <w:t>BE Verwaltungsgericht, 2015-08-24, DE</w:t>
      </w:r>
    </w:p>
    <w:p>
      <w:r>
        <w:rPr>
          <w:b/>
        </w:rPr>
        <w:t xml:space="preserve">Quelle: </w:t>
      </w:r>
      <w:r>
        <w:t>https://mcp.opencaselaw.ch/entscheid/be_verwaltungsgericht_200_2015_647</w:t>
      </w:r>
    </w:p>
    <w:p>
      <w:r>
        <w:t>FR: BE_VERWALTUNGSGERICHT 200 2015 647 du 24 août 2015</w:t>
      </w:r>
    </w:p>
    <w:p>
      <w:r>
        <w:t>IT: BE_VERWALTUNGSGERICHT 200 2015 647 del 24 agosto 2015</w:t>
      </w:r>
    </w:p>
    <w:p>
      <w:pPr>
        <w:pStyle w:val="Heading2"/>
      </w:pPr>
      <w:r>
        <w:t>Regeste</w:t>
      </w:r>
    </w:p>
    <w:p>
      <w:r>
        <w:t>Einspracheentscheid vom 11. Juni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w:t>
      </w:r>
    </w:p>
    <w:p>
      <w:r>
        <w:t>Urteil des Verwaltungsgerichts des Kantons Bern vom 24. Aug. 2015, UV/15/647, Seite 4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(SVR 2009 UV Nr. 5 S. 19 E. 9.2), weshalb er zur Beschwerde befugt ist (Art. 59 ATSG). Die örtliche Zuständigkeit ist gegeben (Art. 58 ATSG). Da auch die Be- stimmungen über Frist (Art. 60 ATSG) sowie Form (Art. 61 lit. b ATSG; Art. 81 Abs. 1 i.V.m. Art. 32 des kantonalen Gesetzes über die Verwaltungs- rechtspflege vom 23. Mai 1989 [VRPG; BSG 155.21]) eingehalten sind, ist auf die Beschwerde einzutreten.</w:t>
      </w:r>
    </w:p>
    <w:p>
      <w:r>
        <w:rPr>
          <w:b/>
        </w:rPr>
        <w:t>E. 1.2</w:t>
      </w:r>
    </w:p>
    <w:p>
      <w:r>
        <w:t>Angefochten ist der die Verfügung vom 20. Februar 2015 (act. II unter 2, K 42) bestätigende Einspracheentscheid vom 11. Juni 2015 (act. II unter 2, K 49), mit welchem die Beschwerdegegnerin ihre Leistungen (Tag- gelder, Heilbehandlung) per Ende Februar 2015 eingestellt und die Aus- richtung einer Rente sowie einer Integritätsentschädigung abgelehnt hat.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w:t>
      </w:r>
    </w:p>
    <w:p>
      <w:r>
        <w:t>Urteil des Verwaltungsgerichts des Kantons Bern vom 24. Aug. 2015, UV/15/647, Seite 5 Beeinträchtigung der körperlichen, geistigen oder psychischen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w:t>
      </w:r>
    </w:p>
    <w:p>
      <w:r>
        <w:rPr>
          <w:b/>
        </w:rPr>
        <w:t>E. 2.2.2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w:t>
      </w:r>
    </w:p>
    <w:p>
      <w:r>
        <w:t>Urteil des Verwaltungsgerichts des Kantons Bern vom 24. Aug. 2015, UV/15/647, Seite 6 nach dem Beweisgrad der überwiegenden Wahrscheinlichkeit zu erfolgen (BGE 112 V 30 E. 1b S. 33).</w:t>
      </w:r>
    </w:p>
    <w:p>
      <w:r>
        <w:rPr>
          <w:b/>
        </w:rPr>
        <w:t>E. 2.3</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Was unter einer namhaften Besserung des Gesundheitszustandes der ver-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 Die Überwindbarkeitspraxis gemäss BGE 136 V 279 und BGE 130 V 352 findet auf den UV-Heilbehandlungs- und Taggeldanspruch, und damit auch auf den Zeitpunkt des Fallabschlusses, keine Anwendung (BGE 137 V 199 E. 2.2.4 S. 206).</w:t>
      </w:r>
    </w:p>
    <w:p>
      <w:r>
        <w:rPr>
          <w:b/>
        </w:rPr>
        <w:t>E. 3.1</w:t>
      </w:r>
    </w:p>
    <w:p>
      <w:r>
        <w:t>In der Beschwerde wird letztlich einzig geltend gemacht, dass die (medizinische) Beurteilung und der Einspracheentscheid grundsätzlich der bisherigen Überwindbarkeitspraxis des Bundesgerichts entsprächen, was</w:t>
      </w:r>
    </w:p>
    <w:p>
      <w:r>
        <w:t>Urteil des Verwaltungsgerichts des Kantons Bern vom 24. Aug. 2015, UV/15/647, Seite 7 sich im Licht des Urteils des Bundesgerichts vom 3. Juni 2015, 9C_492/2014 nicht aufrechterhalten lasse. Der Beschwerdeführer verkennt bei dieser Argumentation, dass die Über- windbarkeitspraxis nach BGE 136 V 279 und BGE 130 V 352 auf den UV- Heilbehandlungs- und Taggeldanspruch und damit auch auf den Zeitpunkt des Fallabschluss keine Anwendung findet (vgl. E. 2.3 letzter Absatz hier- vor). Gleiches muss mithin auch für die nunmehr geänderte höchstrichterli- che Rechtsprechung gelten. Abgesehen davon ist nicht auszumachen, in- wiefern sich das Gutachten der Begutachtungsstelle F.________ (als Ent- scheidgrundlage des Unfallversicherers) und der angefochtene Einspra- cheentscheid mit der Überwindbarkeitspraxis auseinandersetzen und der Entscheid darauf basiert. Bei Unfallversicherungs-Fällen stellt sich – wie bisher – vorab die Frage, welche gesundheitlichen Einschränkungen nach einem Unfall (noch) bestehen und ob diese kausal auf ein bestimmtes Un- fallereignis zurückzuführen sind. Und genau zu diesen Aspekten äussert sich das Gutachten der Begutachtungsstelle F.________, nicht dagegen zu der – nur für invalidenversicherungsrechtliche Belange nach der früheren Rechtsprechung des Bundesgerichts massgebenden – Überwindbarkeit- spraxis. Im äusserst ausführlichen, den Anforderungen an eine Expertise (BGE 137 V 210 E. 6.2.2 S. 269, 134 V 231 E. 5.1 S. 232, 125 V 351 E. 3a S. 352) entsprechenden Gutachten der Begutachtungsstelle F.________ haben die Gutachter schlüssig dargelegt, dass und warum die natürliche Kausalität der vom Beschwerdeführer (nach wie vor) geltend gemachten gesundheitli- chen Einschränkungen zu verneinen ist. In der Beschwerde wird nichts vorgebracht, was Zweifel an dieser Einschätzung zu wecken vermöchte. Hinzuweisen ist in diesem Zusammenhang auch auf den Entscheid dieses Gerichts vom 6. November 2014, IV/2014/792, in welchem festgehalten wurde, dass keine rentenrelevanten Einschränkungen bestehen. Mangels solcher gesundheitlicher Beeinträchtigungen bedurfte es denn auch keiner Prüfung nach der Überwindbarkeitspraxis, sodass die Beurteilung der Ar- beits- bzw. Erwerbsunfähigkeit im iv-rechtlichen Verfahren gestützt auf das neue Gutachten (der Begutachtungsstelle F.________) ohne weiteres auf die Belange der Unfallversicherung übertragen werden kann, zumal der</w:t>
      </w:r>
    </w:p>
    <w:p>
      <w:r>
        <w:t>Urteil des Verwaltungsgerichts des Kantons Bern vom 24. Aug. 2015, UV/15/647, Seite 8 dort ermittelte Invaliditätsgrad unter – im Bereich der Unfallversicherung erst rentenbegründenden – 10% liegt, mithin auch unter unfallversiche- rungsrechtlichen Gesichtspunkten kein Rentenanspruch resultiert.</w:t>
      </w:r>
    </w:p>
    <w:p>
      <w:r>
        <w:rPr>
          <w:b/>
        </w:rPr>
        <w:t>E. 3.2</w:t>
      </w:r>
    </w:p>
    <w:p>
      <w:r>
        <w:t>Die Beschwerde erweist sich nach dem Gesagten als offensichtlich unbegründet und ist dementsprechend abzuweisen.</w:t>
      </w:r>
    </w:p>
    <w:p>
      <w:r>
        <w:rPr>
          <w:b/>
        </w:rPr>
        <w:t>E. 4.1</w:t>
      </w:r>
    </w:p>
    <w:p>
      <w:r>
        <w:t>Verfahrenskosten sind in Anwendung von Art. 1 Abs. 1 UVG in Ver- bindung mit Art. 61 lit. a ATSG keine zu erheben.</w:t>
      </w:r>
    </w:p>
    <w:p>
      <w:r>
        <w:rPr>
          <w:b/>
        </w:rPr>
        <w:t>E. 4.2</w:t>
      </w:r>
    </w:p>
    <w:p>
      <w:r>
        <w:t>Bei diesem Ausgang des Verfahrens besteht kein Anspruch auf eine Parteientschädigung (Art. 1 Abs. 1 UVG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