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330 vom 7. September 2015</w:t>
      </w:r>
    </w:p>
    <w:p>
      <w:r>
        <w:t>BE Verwaltungsgericht, 2015-09-07, DE</w:t>
      </w:r>
    </w:p>
    <w:p>
      <w:r>
        <w:rPr>
          <w:b/>
        </w:rPr>
        <w:t xml:space="preserve">Quelle: </w:t>
      </w:r>
      <w:r>
        <w:t>https://mcp.opencaselaw.ch/entscheid/be_verwaltungsgericht_200_2015_330</w:t>
      </w:r>
    </w:p>
    <w:p>
      <w:r>
        <w:t>FR: BE_VERWALTUNGSGERICHT 200 2015 330 du 7 septembre 2015</w:t>
      </w:r>
    </w:p>
    <w:p>
      <w:r>
        <w:t>IT: BE_VERWALTUNGSGERICHT 200 2015 330 del 7 settembre 2015</w:t>
      </w:r>
    </w:p>
    <w:p>
      <w:pPr>
        <w:pStyle w:val="Heading2"/>
      </w:pPr>
      <w:r>
        <w:t>Regeste</w:t>
      </w:r>
    </w:p>
    <w:p>
      <w:r>
        <w:t>Einspracheentscheid vom 8. April 2015 (ER RD 362/2015)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7. Sept. 2015, ALV/15/330, Seite 4 gegeben (Art. 100 Abs. 3 des Bundesgesetzes über die obligatorische Ar-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Angefochten ist der Einspracheentscheid des beco vom 8. April 2015 (act. IIB 5 – 7). Streitig und zu prüfen ist der Umfang des anrechenba- ren Arbeitsausfalls und damit der Anspruchsberechtigung ab dem 1. Feb- ruar 2015.</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Eine der gesetzlichen Voraussetzungen für den Anspruch auf Ar- beitslosenentschädigung ist die Vermittlungsfähigkeit (Art. 8 Abs. 1 lit. f AVIG). 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 Als Anspruchsvoraussetzung schliesst der Begriff der Vermittlungs(un)fähigkeit graduelle Abstufungen aus. Entweder ist die ver-</w:t>
      </w:r>
    </w:p>
    <w:p>
      <w:r>
        <w:t>Urteil des Verwaltungsgerichts des Kantons Bern vom 7. Sept. 2015, ALV/15/330, Seite 5 sicherte Person vermittlungsfähig, insbesondere bereit, eine zumutbare Arbeit (im Umfang von mindestens 20 % eines Normalarbeitspensums; vgl. Art. 5 AVIV) anzunehmen, oder nicht (BGE 136 V 95 E. 5.1 S. 97; Ent- scheid des BGer vom 26. August 2014, 8C_53/2014, E. 2.1).</w:t>
      </w:r>
    </w:p>
    <w:p>
      <w:r>
        <w:rPr>
          <w:b/>
        </w:rPr>
        <w:t>E. 2.2</w:t>
      </w:r>
    </w:p>
    <w:p>
      <w:r>
        <w:t>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rPr>
          <w:b/>
        </w:rPr>
        <w:t>E. 2.3</w:t>
      </w:r>
    </w:p>
    <w:p>
      <w:r>
        <w:t>Von der Vermittlungsfähigkeit zu unterscheiden ist der anrechen- bare Arbeitsausfall (Art. 11 AVIG). Der anrechenbare Arbeitsausfall be- stimmt sich grundsätzlich im Verhältnis zum letzten Arbeitsverhältnis vor Eintritt der (Teil-)Arbeitslosigkeit. Es kommt darauf an, was die versicherte Person an Verdienst einbringender Arbeitszeit verloren hat und in welchem zeitlichen Umfang sie bereit, berechtigt und in der Lage ist, eine zumutbare Arbeit aufzunehmen. Arbeitnehmer, die nach dem Verlust ihrer Vollzeitbe- schäftigung, aus welchen Gründen auch immer, lediglich noch teilzeitlich erwerbstätig sein wollen oder können, die also zwar bereit sind, eine zu- mutbare Arbeit anzunehmen, im Unterschied zu vorher jedoch nur noch in reduziertem Umfang, erleiden einen bloss teilweisen Arbeitsausfall (BGE 125 V 51 E. 6c aa S. 59; Entscheid des BGer vom 3. Januar 2008, 8C_553/2007, E. 2.2). Die Kürzung des Taggeldanspruchs bei einem ledig-</w:t>
      </w:r>
    </w:p>
    <w:p>
      <w:r>
        <w:t>Urteil des Verwaltungsgerichts des Kantons Bern vom 7. Sept. 2015, ALV/15/330, Seite 6 lich teilweise anrechenbaren Arbeitsausfall geschieht durch eine entspre- chende Reduktion des der Entschädigungsbemessung zu Grunde zu le- genden versicherten Verdienstes (BGE 125 V 51 E. 6c aa S. 59 f.).</w:t>
      </w:r>
    </w:p>
    <w:p>
      <w:r>
        <w:rPr>
          <w:b/>
        </w:rPr>
        <w:t>E. 3.1</w:t>
      </w:r>
    </w:p>
    <w:p>
      <w:r>
        <w:t>Die Beschwerdeführerin arbeitete im letzten Arbeitsverhältnis vor Eintritt der Arbeitslosigkeit zunächst in einem Beschäftigungsgrad von 50%, ab November 2010 in einem Beschäftigungsgrad von 70% und ab Januar 2014 in einem Beschäftigungsgrad von 90% als … (act. II 5, 7 sowie act. IIA 29). Während dieses Arbeitsverhältnisses war die Betreuung der 2009 geborenen Tochter während der Arbeitszeiten u.a. durch eine interne Krippe des Arbeitgebers gewährleistet (act. IIA 67). Mit Beendigung des Arbeitsverhältnisses per 31. Januar 2015 (act. IIA 3) fiel diese externe Be- treuungsmöglichkeit der Tochter weg (act. IIA 67).</w:t>
      </w:r>
    </w:p>
    <w:p>
      <w:r>
        <w:rPr>
          <w:b/>
        </w:rPr>
        <w:t>E. 3.2</w:t>
      </w:r>
    </w:p>
    <w:p>
      <w:r>
        <w:t>Im Rahmen ihrer Anmeldung zur Arbeitsvermittlung gab die Be- schwerdeführerin gegenüber dem RAV an, dass sie wiederum eine Anstel- lung mit einem Beschäftigungsgrad von 90% suche, jedoch ausschliesslich Abend- oder Nachtarbeit (act. IIA 11). Tagsüber betreue sie ihre Tochter, nachts erfolge die Betreuung durch ihren Ehemann (act. IIA 25, 67). Auf die entsprechende Aufforderung hin (act. IIA 39) reichte die Beschwer- deführerin einen Obhutsnachweis ein, gemäss welchem ihre Tochter wo- chentags jeweils von 17.00 Uhr bis 06.00 Uhr durch den Ehemann betreut werde, freitags bereits ab 13.00 Uhr sowie an den Wochenenden ganztags (act. IIA 42). Im Begleitschreiben zu dieser Eingabe (act. IIA 44) gab sie zudem die Arbeitszeiten des Ehemannes an. Er arbeite regelmässig von Montag bis Freitag von 06.00 Uhr bis 17.00 Uhr im Bereich … in einer loka- len Firma. Auf die Frage, wann sie zu schlafen gedenke, wenn sie nachts arbeiten gehe und tagsüber die Kinderbetreuung übernehme (act. IIA 38), gab die Beschwerdeführerin an, dass ihre Tochter von 08.20 Uhr bis 11.50 Uhr den Kindergarten besuche und sie in der Zeit schlafen könne. Zudem könne sie auch schlafen, wenn ihre Tochter anwesend sei, da sich das Kind gut selber beschäftigen könne (act. IIA 40, 44).</w:t>
      </w:r>
    </w:p>
    <w:p>
      <w:r>
        <w:t>Urteil des Verwaltungsgerichts des Kantons Bern vom 7. Sept. 2015, ALV/15/330, Seite 7</w:t>
      </w:r>
    </w:p>
    <w:p>
      <w:r>
        <w:rPr>
          <w:b/>
        </w:rPr>
        <w:t>E. 3.3</w:t>
      </w:r>
    </w:p>
    <w:p>
      <w:r>
        <w:t>Bis zum Zeitpunkt des Erlasses des angefochtenen Einspra- cheentscheids vom 8. April 2015 (act. IIB 5 – 7), welcher rechtsprechungs- gemäss die zeitliche Grenze der richterlichen Überprüfungsbefugnis bildet (vgl. BGE 140 V 201 E. 4.3 S. 205), fehlt es in den Akten am Nachweis, dass die Betreuung der Tochter bei der von der Beschwerdeführerin ange- strebten Nachtarbeit mit einem Beschäftigungsgrad von 90% tagsüber durchwegs gewährleistet (gewesen) wäre. Die Zeit, die die Tochter tagsü- ber im Kindergarten verbringt, ist zu kurz, als dass die Beschwerdeführerin in dieser Zeit den notwendigen Schlaf nachzuholen vermöchte. Kommt hinzu, dass während der Schulferien und allfälliger Krankheitszeiten der Tochter diese den Kindergarten nicht besuchen kann bzw. darf und damit anderweitig betreut werden müsste. Dass das Kind jeweils genügend lange sich selbst überlassen werden dürfte, damit die Beschwerdeführerin genü- gend Schlaf hat, ist angesichts des Alters des Kindes mit der gesetzlichen Fürsorgepflicht der Eltern schlechterdings nicht vereinbar. Ein Pensum von über 45% ist bei der von der Beschwerdeführerin bis zum angefochtenen Einspracheentscheid vom 8. April 2015 präsentierten Betreuungslösung ohne Verletzung der Fürsorgepflicht gegenüber der Tochter nicht möglich. Damit war die Beschwerdeführerin im Zeitpunkt des Einspracheentscheids lediglich für eine Teilzeitstelle im Umfang von 45% vermittlungsfähig. Für die Zeit bis zum angefochtenen Einspracheentscheid wurde der anrechen- bare Arbeitsausfall vom Beschwerdegegner somit zu Recht auf 45% fest- gelegt. Dass die Beschwerdeführerin in der letzten Anstellung zuletzt zu einem Beschäftigungsgrad von 90% gearbeitet hat, ändert daran nichts, hatte sie doch damals noch Zugriff auf eine vom Arbeitgeber zur Verfügung gestellte Kinderbetreuung, welche ihr unstrittig nicht mehr zur Verfügung steht (act. IIA 67). Nach dem Dargelegten ist der Einspracheentscheid des Beschwerdegeg- ners vom 8. April 2015 aufgrund des zu jenem Zeitpunkt vorgelegenen Sachverhalts nicht zu beanstanden und die dagegen erhobene Beschwer- de als unbegründet abzuweisen.</w:t>
      </w:r>
    </w:p>
    <w:p>
      <w:r>
        <w:rPr>
          <w:b/>
        </w:rPr>
        <w:t>E. 3.4</w:t>
      </w:r>
    </w:p>
    <w:p>
      <w:r>
        <w:t>Die Beschwerdeführerin hat im vorliegenden Verfahren für die Zeit ab dem 9. April 2015 einen möglicherweise hinreichenden Nachweis für eine Kinderbetreuung auch bei einem höheren Beschäftigungsgrad als</w:t>
      </w:r>
    </w:p>
    <w:p>
      <w:r>
        <w:t>Urteil des Verwaltungsgerichts des Kantons Bern vom 7. Sept. 2015, ALV/15/330, Seite 8 45% eingereicht (act. I 1). Mit Beschwerdeantwort vom 1. Juni 2015 hat der Beschwerdegegner entsprechend in Aussicht gestellt, die Vermittlungs- fähigkeit bzw. den anrechenbaren Arbeitsausfall und damit die Anspruchs- berechtigung der Beschwerdeführerin ab dem Zeitpunkt der Beschwerde- erhebung erneut zu überprüfen. Aufgrund des neu eingereichten, für einen Zeitpunkt nach Erlass des Einspracheentscheides wirksamen Obhuts- nachweises (act. I 1) ist eine solche Überprüfung für die Zeit ab dem 9. April 2015 angezeigt. Die Akten sind somit zur Vornahme der in Aussicht gestellten Überprüfung der Vermittlungsfähigkeit bzw. des Umfangs des anrechenbaren Arbeitsausfalls und damit der Anspruchsberechtigung der Beschwerdeführerin ab dem 9. April 2015 mit anschliessend neuem Ent- scheid an den Beschwerdegegner zu überweisen.</w:t>
      </w:r>
    </w:p>
    <w:p>
      <w:r>
        <w:rPr>
          <w:b/>
        </w:rPr>
        <w:t>E. 4</w:t>
      </w:r>
    </w:p>
    <w:p>
      <w:r>
        <w:t>Zu eröffnen (R): - A.________ - beco Berner Wirtschaft, Arbeitsvermittlung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