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20 vom 5. März 2015</w:t>
      </w:r>
    </w:p>
    <w:p>
      <w:r>
        <w:t>BE Verwaltungsgericht, 2015-03-05, DE</w:t>
      </w:r>
    </w:p>
    <w:p>
      <w:r>
        <w:rPr>
          <w:b/>
        </w:rPr>
        <w:t xml:space="preserve">Quelle: </w:t>
      </w:r>
      <w:r>
        <w:t>https://mcp.opencaselaw.ch/entscheid/be_verwaltungsgericht_200_2015_20</w:t>
      </w:r>
    </w:p>
    <w:p>
      <w:r>
        <w:t>FR: BE_VERWALTUNGSGERICHT 200 2015 20 du 5 mars 2015</w:t>
      </w:r>
    </w:p>
    <w:p>
      <w:r>
        <w:t>IT: BE_VERWALTUNGSGERICHT 200 2015 20 del 5 marzo 2015</w:t>
      </w:r>
    </w:p>
    <w:p>
      <w:pPr>
        <w:pStyle w:val="Heading2"/>
      </w:pPr>
      <w:r>
        <w:t>Regeste</w:t>
      </w:r>
    </w:p>
    <w:p>
      <w:r>
        <w:t>Entscheid des Regierungsstatthalteramts Bern-Mittelland vom 12. Dezember 2014 (shbv 92/2014)</w:t>
      </w:r>
    </w:p>
    <w:p>
      <w:pPr>
        <w:pStyle w:val="Heading2"/>
      </w:pPr>
      <w:r>
        <w:t>Erwägungen</w:t>
      </w:r>
    </w:p>
    <w:p>
      <w:r>
        <w:rPr>
          <w:b/>
        </w:rPr>
        <w:t>E. 1.1</w:t>
      </w:r>
    </w:p>
    <w:p>
      <w:r>
        <w:t>Die Sozialversicherungsrechtliche Abteilung des Verwaltungsge- richts ist zur Beurteilung der Beschwerde als letzte kantonale Instanz gemäss Art. 74 Abs. 1 des Gesetzes über die Verwaltungsrechtspflege vom 23. Mai 1989 (VRPG; BSG 155.21) und Art. 54 Abs. 2 des Gesetzes über die Organisation der Gerichtsbehörden und der Staatsanwaltschaft vom 11. Juni 2009 (GSOG; BSG 161.1) i.V.m. Art. 18 Abs. 2 des Organisa- tionsreglements des Verwaltungsgerichts vom 22. September 2010 (OrR VG; BSG 162.621) zuständig (vgl. auch Art. 52 Abs. 3 des Gesetzes über die öffentliche Sozialhilfe vom 11. Juni 2001 [Sozialhilfegesetz, SHG; BSG 860.1]). Die Beschwerdeführer haben am vorinstanzlichen Verfahren teilgenommen, sind durch den angefochtenen Entscheid besonders berührt und haben ein schutzwürdiges Interesse an dessen Aufhebung oder Ände- rung (Art. 79 Abs. 1 VRPG). Auf die form- und fristgerecht eingereichte Be- schwerde ist einzutreten (Art. 81 Abs. 1 i.V.m. Art. 32 Abs. 2 VRPG).</w:t>
      </w:r>
    </w:p>
    <w:p>
      <w:r>
        <w:rPr>
          <w:b/>
        </w:rPr>
        <w:t>E. 1.2</w:t>
      </w:r>
    </w:p>
    <w:p>
      <w:r>
        <w:t>Angefochten ist der Entscheid des RSA Bern-Mittelland vom 12. Dezember 2014 (act. IIA 004 ff.). Streitig und zu prüfen ist, ob die Vor- instanz (die als solche behandelte) Rechtsverweigerungsbeschwerde der Beschwerdeführer zu Recht abgewiesen hat.</w:t>
      </w:r>
    </w:p>
    <w:p>
      <w:r>
        <w:rPr>
          <w:b/>
        </w:rPr>
        <w:t>E. 1.3</w:t>
      </w:r>
    </w:p>
    <w:p>
      <w:r>
        <w:t>Die Beschwerdeführer verlangen eine Verfügung über die behaup- tete Rückerstattungsforderung von Fr. 5‘990.--. Damit erreicht der Streit- wert den Betrag von Fr. 20‘000.-- nicht, weshalb die Beurteilung der Be- schwerde in die einzelrichterliche Zuständigkeit fällt (Art. 57 Abs. 1 GSOG).</w:t>
      </w:r>
    </w:p>
    <w:p>
      <w:r>
        <w:rPr>
          <w:b/>
        </w:rPr>
        <w:t>E. 2.1</w:t>
      </w:r>
    </w:p>
    <w:p>
      <w:r>
        <w:t>Der Sozialdienst trifft und eröffnet seine Entscheide grundsätzlich in Form einer beschwerdefähigen Verfügung (Art. 51 Abs. 1 SHG). Im Übri- gen richtet sich das sozialhilferechtliche Verfahren nach den Bestimmun-</w:t>
      </w:r>
    </w:p>
    <w:p>
      <w:r>
        <w:t>Urteil des Verwaltungsgerichts des Kantons Bern vom 5. März 2015, SH/15/20, Seite 5 gen des VRPG, soweit das SHG keine abweichenden Bestimmungen enthält (Art. 10 SHG).</w:t>
      </w:r>
    </w:p>
    <w:p>
      <w:r>
        <w:rPr>
          <w:b/>
        </w:rPr>
        <w:t>E. 2.2</w:t>
      </w:r>
    </w:p>
    <w:p>
      <w:r>
        <w:t>In Verfahren vor Gerichts- und Verwaltungsinstanzen haben die Parteien Anspruch auf gleiche und gerechte Behandlung sowie auf Beurtei- lung innert angemessener Frist (Art. 29 Abs. 1 der Bundesverfassung der Schweizerischen Eidgenossenschaft vom 18. April 1999 [BV; SR 101] und Art. 26 Abs. 2 der Verfassung des Kantons Bern [KV; BSG 101.1]). Eine formelle Rechtsverweigerung liegt nach der Praxis des Bundesgerichts vor, wenn eine Behörde auf eine ihr frist- und formgerecht unterbreitete Sache nicht eintritt, obschon sie darüber befinden müsste (vgl. BGE 135 I 6 E. 2.1 S. 9). Dies ist namentlich dann der Fall, wenn die Voraussetzungen für die Einleitung eines Verwaltungsverfahrens – Gesuch bzw. Antrag, Zuständig- keit, schutzwürdiges Interesse, verfügungsfähige Rechte und Pflichten – an sich erfüllt sind (vgl. MARKUS MÜLLER, in Auer/Müller/Schindler [Hrsg.], Kommentar VwVG, 2008, Art. 46a N. 4).</w:t>
      </w:r>
    </w:p>
    <w:p>
      <w:r>
        <w:rPr>
          <w:b/>
        </w:rPr>
        <w:t>E. 3.1</w:t>
      </w:r>
    </w:p>
    <w:p>
      <w:r>
        <w:t>Zunächst ist festzustellen, dass dem Schreiben des Sozialdienstes C.________ vom 17. Oktober 2014 (act. II 7), worin dieser festhielt, es ste- he der Beschwerdegegnerin der gesamte Betrag von Fr. 9‘000.-- zu und die Vereinbarung vom 26. Juni 2013 sei „inzwischen in Rechtskraft er- wachsen“, kein Verfügungscharakter zukommt bzw. kein (allenfalls mit Feh- lern behafteter) und als solcher erkennbarer Nichteintretensentscheid dar- stellt, fehlt es doch an einer verbindlichen Anordnung (im Sinne einer Wei- gerung) und ist dem Schreiben auch keine Rechtsmittelbelehrung zu ent- nehmen. Gegenteiliges wird denn auch nicht geltend gemacht. Indessen liegt im Umstand, wonach der Sozialdienst C.________ auf die Rechtskraft der Vereinbarung vom 26. Juni 2013 verwies, zumindest eine implizite (formlose) Weigerung, die anbegehrte Verfügung zu erlassen, zumal er Bezug auf Ziffer 4 des Schreibens der Beschwerdeführer vom 6. Oktober 2014 (act. II 4) nahm, worin diese für den Fall, dass der Forderung nach Rückerstattung von Fr. 5‘990.-- nicht nachgekommen werde, ausdrücklich um Erlass einer „beschwerdefähigen Verfügung“ ersucht hatten. Mithin ist</w:t>
      </w:r>
    </w:p>
    <w:p>
      <w:r>
        <w:t>Urteil des Verwaltungsgerichts des Kantons Bern vom 5. März 2015, SH/15/20, Seite 6 nicht zu beanstanden, dass die Vorinstanz die Eingabe der Beschwerde- führer vom 21. November 2014 (act. IIA 001 f.) nicht als Beschwerde gegen eine Leistungsverfügung bzw. einen Nichteintretensentscheid, sondern als Rechtsverweigerungsbeschwerde entgegennahm und – mit Blick auf Art. 49 Abs. 2 VRPG zu Recht – darauf eintrat.</w:t>
      </w:r>
    </w:p>
    <w:p>
      <w:r>
        <w:rPr>
          <w:b/>
        </w:rPr>
        <w:t>E. 3.2</w:t>
      </w:r>
    </w:p>
    <w:p>
      <w:r>
        <w:t>Nachfolgend ist zu prüfen, ob die Beschwerdegegnerin verpflichtet gewesen wäre, eine Verfügung zu erlassen. Dies setzte u.a. (notwendig) einen verfügungsfähigen Regelungsgegenstand voraus (vgl. E. 2.2 vorne). Wie die Vorinstanz zutreffend erwog, basiert die Vereinbarung vom 26. Juni 2013 (act. II 2) nicht auf (kantonalem) öffentlichem Recht. Vielmehr stellt die Vergleichsverhandlung nach Art. 316 der Schweizerischen Strafprozessordnung vom 5. Oktober 2007 (Strafprozessordnung, StPO; SR 312.0) einen internen Verfahrensakt der Strafuntersuchung dar. Ob und in welchem Verfahrensstadium die Staatsanwaltschaft eine Vergleichsverhandlung (hoheitlich) anordnet, bleibt ihr überlassen (Entscheid des Bundesgerichts [BGer] vom 19. September 2013, 6B_374/2013, E. 2.4.2). Im Rahmen dieses Vergleichs versucht die Verfah- rensleitung, eine Einigung zwischen den Parteien in Form einer übereinstimmenden Willenserklärung herbeizuführen, mit dem Ziel, dass die antragstellende Person ihren Strafantrag zurückzieht und die beschuldigte Person als Ausgleich eine Entschuldigung, Genugtuung oder Schadenersatz leistet (BGer, 6B_374/2013, E. 2.4.1). Vorliegend standen Strafanträge der Beschwerdegegnerin wegen Haus- friedensbruchs sowie Strafanträge (und eine Privatklage) von D.________ wegen übler Nachrede, Verleumdung und Beschimpfung gegen die Be- schwerdeführer im Raum. In der Vereinbarung vom 26. Juni 2013 zogen die Beschwerdegegnerin und D.________ sämtliche Strafanträge zurück; im Gegenzug entschuldigten sich die Beschwerdeführer bei Letzterem und verpflichteten sich gleichzeitig, einen Anteil an die Parteikosten von D.________ und der Beschwerdegegnerin in der Höhe von Fr. 9‘000.-- – unter solidarischer Haftbarkeit – zu bezahlen, wobei die mit einer Erbschaft mandatierte Notarin gerichtlich angewiesen wurde, den Betrag von Fr. 9‘000.-- vor Erbauszahlung an B.________ an Fürsprecher E.________ zu überweisen (Ziffern 7 und 8 [act. II 2]). Diese Vereinbarung wurde</w:t>
      </w:r>
    </w:p>
    <w:p>
      <w:r>
        <w:t>Urteil des Verwaltungsgerichts des Kantons Bern vom 5. März 2015, SH/15/20, Seite 7 schliesslich am 27. Juni 2013 gerichtlich genehmigt (Ziffer 3 [act. II 1]) und blieb in der Folge unangefochten. Folgedessen war es der Beschwerde- gegnerin verwehrt, mittels einer Verfügung über die im Strafverfahren ab- schliessend geregelte Übernahme der Parteikosten durch die Beschwerde- führer (erneut) zu befinden, zumal – wie dargelegt – Letztere darauf ver- zichteten, gegen die Einstellung des Strafverfahrens am 27. Juni 2013 ein Rechtsmittel zu ergreifen. Handelt es sich bei der anbegehrten Rückerstattung von Fr. 5‘990.-- mithin nicht um einen verfügungsfähigen – da nicht öffentlich-rechtlichen respektive sozialhilferechtlichen – Regelungsgegenstand, kam der Beschwerdegegnerin keine Verfügungsbefugnis zu. Die Vorinstanz hat die Rechtsverweigerungsbeschwerde folglich zu Recht abgewiesen.</w:t>
      </w:r>
    </w:p>
    <w:p>
      <w:r>
        <w:rPr>
          <w:b/>
        </w:rPr>
        <w:t>E. 3.3</w:t>
      </w:r>
    </w:p>
    <w:p>
      <w:r>
        <w:t>Schliesslich erwog die Vorinstanz, dass die Beschwerdeführer keinen Anspruch auf den „Überschuss“ von Fr. 5‘990.-- hätten (vgl. act. IIA 006). Eine materielle Beurteilung des geltend gemachten Rückerstattungsanspruchs hätte vorausgesetzt, dass vorgängig im Rahmen einer förmlichen Verfügung darüber befunden worden wäre, was nach dem Dargelegten jedoch nicht der Fall war (vgl. E. 3.1 vorne). Im Ergebnis ist der vorinstanzlichen Auffassung indes beizupflichten: Die Honorarnote von Fürsprecher E.________ beläuft sich inklusive Auslagen und Mehrwertsteuern nicht – wie die Beschwerdeführer behaupten – auf Fr. 3‘010.--, sondern auf insgesamt Fr. 9‘972.-- (act. II 3), welcher Betrag durch die in der Vereinbarung vom 26. Juni 2013 festgelegte Parteientschädigung von Fr. 9‘000.-- noch nicht einmal gedeckt ist. Insofern kann von einem „Überschuss“ nicht die Rede sein und es besteht für die geltend gemachte Rückerstattung von Fr. 5‘990.-- zum vornherein kein Raum. Letzterer Betrag resultiert denn auch einzig aus dem Umstand, dass Fürsprecher E.________ bereits im November 2012 ein Honorar von Fr. 6‘962.-- bezahlt worden war, wobei weder ersichtlich ist noch geltend gemacht wird, dass das fragliche Betreffnis damals von den Beschwerdeführenden übernommen worden wäre. Vielmehr ist auf die unbestritten gebliebene Feststellung im angefochtenen Entscheid (act. IIA 006) abzustellen, wonach die damalige Honorarnote durch die</w:t>
      </w:r>
    </w:p>
    <w:p>
      <w:r>
        <w:t>Urteil des Verwaltungsgerichts des Kantons Bern vom 5. März 2015, SH/15/20, Seite 8 Beschwerdegegnerin beglichen wurde, was gleichermassen aus dem Entscheid der Vorinstanz vom 16. Juli 2014 folgt (vgl. E. 6.4 [act. I 5]). Im Weiteren ist festzustellen, dass die von den Beschwerdeführenden postulierte Auffassung und Berechnung in keiner Weise mit der am 26. Juni 2013 hinsichtlich der Parteikosten getroffenen Vereinbarung korrespondiert, worin der zu übernehmende Anteil vorbehaltlos mit Fr. 9‘000.-- beziffert wurde. Soweit die Beschwerdeführer schliesslich behaupten, aus der vorerwähnten Erwägung 6.4 des vorinstanzlichen Entscheids vom 16. Juli 2014 (act. I 5) ergebe sich, dass die Beschwerdegegnerin für sämtliche Anwaltskosten selber aufzukommen habe, so ist dies offensichtlich unzutreffend, lässt sich eine solche Aussage der fraglichen Erwägung doch weder explizit noch implizit entnehmen. Im Übrigen ging es dort um die Rückerstattung bevorschusster Sozialhilfeleistungen, wobei hinsichtlich der Anwaltskosten ausdrücklich auf die diesbezüglich separate Vereinbarung (vom 26. Juni 2013) hingewiesen wurde. Mithin können die Beschwerdeführer aus den dort gemachten Ausführungen nichts zu ihren Gunsten ableiten.</w:t>
      </w:r>
    </w:p>
    <w:p>
      <w:r>
        <w:rPr>
          <w:b/>
        </w:rPr>
        <w:t>E. 3.4</w:t>
      </w:r>
    </w:p>
    <w:p>
      <w:r>
        <w:t>Der Entscheid der Vorinstanz hält somit der Rechtskontrolle stand. Die Beschwerde erweist sich als unbegründet und ist abzuweisen.</w:t>
      </w:r>
    </w:p>
    <w:p>
      <w:r>
        <w:rPr>
          <w:b/>
        </w:rPr>
        <w:t>E. 4</w:t>
      </w:r>
    </w:p>
    <w:p>
      <w:r>
        <w:t>Bei diesem Ergebnis sind die Kosten des Verfahrens in Anwendung von Art. 108 Abs. 1 VRPG den unterliegenden Beschwerdeführenden aufzuer- legen und auf pauschal Fr. 1‘000.-- festzusetzen. Entschädigungspflichtige Parteikosten sind keine angefallen (Art. 104 VRPG). An der Verlegung und Festsetzung der Verfahrenskosten änderte nichts, wenn die vorliegende Streitigkeit – entgegen dem Dargelegten – sozialhilfe- rechtlicher Natur wäre, wäre die Prozessführung diesfalls doch als mutwillig zu bezeichnen (vgl. Art. 53 SHG), nachdem sich die Beschwerdeführer in der unangefochten gebliebenen Vereinbarung vom 26. Juni 2013 unmiss- verständlich dazu verpflichtet haben, an die Parteikosten von D.________ und der Beschwerdegegnerin Fr. 9‘000.-- zu bezahlen, weshalb die Aus- sichtslosigkeit der vorliegend vertretenen Rechtsauffassung auch für juristi-</w:t>
      </w:r>
    </w:p>
    <w:p>
      <w:r>
        <w:t>Urteil des Verwaltungsgerichts des Kantons Bern vom 5. März 2015, SH/15/20, Seite 9 sche Laien ohne weiteres erkennbar war (vgl. MERK- LI/AESCHLIMANN/HERZOG, Kommentar zum bernischen VRPG, 1997, Art. 105 N. 28).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