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1131 vom 23. Dezember 2015</w:t>
      </w:r>
    </w:p>
    <w:p>
      <w:r>
        <w:t>BE Verwaltungsgericht, 2015-12-23, DE</w:t>
      </w:r>
    </w:p>
    <w:p>
      <w:r>
        <w:rPr>
          <w:b/>
        </w:rPr>
        <w:t xml:space="preserve">Quelle: </w:t>
      </w:r>
      <w:r>
        <w:t>https://mcp.opencaselaw.ch/entscheid/be_verwaltungsgericht_200_2015_1131</w:t>
      </w:r>
    </w:p>
    <w:p>
      <w:r>
        <w:t>FR: BE_VERWALTUNGSGERICHT 200 2015 1131 du 23 décembre 2015</w:t>
      </w:r>
    </w:p>
    <w:p>
      <w:r>
        <w:t>IT: BE_VERWALTUNGSGERICHT 200 2015 1131 del 23 dicembre 2015</w:t>
      </w:r>
    </w:p>
    <w:p>
      <w:pPr>
        <w:pStyle w:val="Heading2"/>
      </w:pPr>
      <w:r>
        <w:t>Regeste</w:t>
      </w:r>
    </w:p>
    <w:p>
      <w:r>
        <w:t>Einspracheentscheid vom 23. Dezember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23. De- zember 2015 (AB 239). Streitig und zu prüfen ist, ob die Beschwerdegeg- nerin auf die Einsprache vom 18. November 2015 (AB 232) wegen fehlen- den Rechtsschutzinteresses zu Recht nicht eingetreten ist. Urteil des Verwaltungsgerichts des Kantons Bern vom 24. März 2016, EL/15/1131, Seite 4</w:t>
      </w:r>
    </w:p>
    <w:p>
      <w:r>
        <w:rPr>
          <w:b/>
        </w:rPr>
        <w:t>E. 1.3</w:t>
      </w:r>
    </w:p>
    <w:p>
      <w:r>
        <w:t>Die Mitglieder des Verwaltungsgerichts behandeln als Einzelrichte- rin oder Einzelrichter Beschwerden gegen Zwischenverfügungen und Zwi- schenentscheide, einschliesslich solcher betreffend die unentgeltliche Rechtspflege, gegen Nichteintretensverfügungen oder -entscheide sowie gegen Abschreibungsverfügungen oder -entscheide (Art. 57 Abs. 2 lit. b - d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rPr>
          <w:b/>
        </w:rPr>
        <w:t>E. 2.2</w:t>
      </w:r>
    </w:p>
    <w:p>
      <w:r>
        <w:t>Grundsätzlich sind alle wiederkehrenden Leistungen, die nicht unter Art. 11 Abs. 3 ELG fallen, vollumfänglich als Einnahmen anzurechnen, gleichgültig, ob es sich um Geld- oder um Naturalleistungen handelt (BGE 139 V 574 E. 3.3.3 S. 578). Als Einnahmen anzurechnen sind die Erwerbs- einkünfte, die Einkünfte aus Vermögen sowie unter dem Titel Vermögens- verzehr ein Fünfzehntel, bei Altersrentnerinnen und -rentnern ein Zehntel des Reinvermögens, soweit es bei Alleinstehenden Fr. 37'500.-- und bei Ehepaaren Fr. 60'000.-- übersteigt (Art. 11 Abs. 1 lit. a - c ELG). Zu den anrechenbaren Einnahmen gehören ferner die Renten, familienrechtliche Unterhaltsbeiträge sowie insbesondere die Einkünfte und Vermögenswerte, auf die verzichtet worden ist (Art. 11 Abs. 1 lit. d sowie g und h ELG). Urteil des Verwaltungsgerichts des Kantons Bern vom 24. März 2016, EL/15/1131, Seite 5</w:t>
      </w:r>
    </w:p>
    <w:p>
      <w:r>
        <w:rPr>
          <w:b/>
        </w:rPr>
        <w:t>E. 3.1</w:t>
      </w:r>
    </w:p>
    <w:p>
      <w:r>
        <w:t>Mit Verfügungen vom 20. November 2015 (AB 225 bis 228) sprach die Beschwerdegegnerin der Beschwerdeführerin für die Zeit vom 1. März 2015 bis 30. November 2015 bzw. ab dem 1. Dezember 2015 monatliche Ergänzungsleistungen von Fr. 1‘155.-- zu; dabei berücksichtigte sie ein Sparguthaben von Fr. 10‘000.-- sowie ein Verzichtsvermögen von Fr. 16'767.-- resp. nach Abzug des Freibetrages von Fr. 60‘000.-- ein anre- chenbares Vermögen von Fr. 0.-- (AB 225 und 227). Die Höhe der zuge- sprochenen Leistungen und auch der Rückforderung hat die Beschwerde- führerin in ihrer Einsprache vom 18. November 2015 nicht moniert, jedoch die Berücksichtigung eines Sparguthabens und eines Verzichtsvermögens gerügt (AB 232).</w:t>
      </w:r>
    </w:p>
    <w:p>
      <w:r>
        <w:rPr>
          <w:b/>
        </w:rPr>
        <w:t>E. 3.2</w:t>
      </w:r>
    </w:p>
    <w:p>
      <w:r>
        <w:t>Grundsätzlich ist nur die Verfügungs- oder Entscheidformel (das sog. Dispositiv), nicht aber die Begründung eines Entscheids anfechtbar. Nach der Rechtsprechung zu Art. 103 lit. a des Bundesgesetzes über die Organisation der Bundesrechtspflege vom 16. Dezember 1943 (OG; seit 1. Januar 2007: Art. 89 Abs. 1 lit. c des Bundesgesetzes über das Bundes- gericht vom 17. Juni 2005 [Bundesgerichtsgesetz, BGG; SR 173.110]) wird deshalb das Rechtsschutzinteresse verneint, wenn sich die Beschwerde nur gegen die Begründung der angefochtenen Verfügung richtet, ohne dass eine Änderung des Dispositivs verlangt wird (Entscheid des Bundesgerichts vom 5. Juli 2011, 8C_457/2011; vgl. auch MERK- LI/AESCHLIMANN/HERZOG, Kommentar zum bernischen VRPG, 1997, Art. 52 N. 12). Bei der Beurteilung der Frage, ob ein Verfügungsbestandteil zum Dispositiv oder zur Begründung (Motiv) gehört, kann nicht ohne weiteres auf die text- liche Gestaltung einer Verfügung abgestellt werden. Vielmehr drängt sich entsprechend dem Verfügungsbegriff in Art. 5 des Bundesgesetzes über das Verwaltungsverfahren vom 20. Dezember 1968 (VwVG; SR.172.021) die Prüfung auf, ob die fragliche Textstelle im Einzelfall zum Gegenstand hat: a. die Begründung, Änderung oder Aufhebung von Rechten oder Pflichten; b. die Feststellung des Bestehens, Nichtbestehens oder Umfanges von Rechten oder Pflichten; Urteil des Verwaltungsgerichts des Kantons Bern vom 24. März 2016, EL/15/1131, Seite 6 c. die Abweisung von Begehren auf Begründung, Änderung, Aufhebung oder Feststellung von Rechten oder Pflichten oder das Nichteintreten auf solche Begehren. Trifft dies zu, so ist der Dispositivcharakter zu bejahen (BGE 115 V 416 E. 3b/aa S. 418).</w:t>
      </w:r>
    </w:p>
    <w:p>
      <w:r>
        <w:rPr>
          <w:b/>
        </w:rPr>
        <w:t>E. 3.3</w:t>
      </w:r>
    </w:p>
    <w:p>
      <w:r>
        <w:t>Vorliegend geht es um die Positionen Sparguthaben im Betrag von Fr. 10‘000.-- und Verzichtsvermögen in Höhe von Fr. 16‘767.-- (AB 225 und 227). Die einzelnen Positionen der EL-Berechnungsblätter haben keinen Dispositivcharakter, sondern bilden lediglich Teil der Begründung für die Höhe der Ergänzungsleistungen (BVR 1996 S. 473). Da der Entscheid der Beschwerdegegnerin für eine Anrechnung eines Sparguthabens und eines Verzichtsvermögens folglich lediglich als Begründungselemente der Verfü- gungen vom 20. November 2015 (AB 225 bis 228) zu qualifizieren sind, waren sie nicht anfechtbar (vgl. E. 3.2 hiervor). Kommt hinzu, dass es der Beschwerdeführerin für eine Anfechtung dieser Anrechnung - worauf das angerufene Gericht die Beschwerdeführerin bereits in VGE EL/2015/850 (S. 3 unten) hingewiesen hat - ohnehin am erforderlichen schützwürdigen Interesse fehlt, denn die beantragte Nichtberücksichtigung eines Spar- und Verzichtsvermögen in Höhe von insgesamt Fr. 16‘767.-- wirkt sich im Er- gebnis auf den Ergänzungsleistungsanspruch und die Rückerstattungsfor- derung nicht aus; auch bei Nichtanrechnung dieser Positionen wird - wie bei deren Anrechnung mit Abzug des Freibetrages von Fr. 60‘000.-- - kein anrechenbares Vermögen berücksichtigt.</w:t>
      </w:r>
    </w:p>
    <w:p>
      <w:r>
        <w:rPr>
          <w:b/>
        </w:rPr>
        <w:t>E. 4</w:t>
      </w:r>
    </w:p>
    <w:p>
      <w:r>
        <w:t>Nach dem Dargelegten ist die Beschwerdegegnerin im hier angefochtenen Entscheid vom 23. Dezember 2015 (AB 239) auf die Einsprache vom 18. November 2015 (AB 232) zu Recht nicht eingetreten. Die Beschwerde erweist sich folglich als unbegründet und ist abzuweisen. Urteil des Verwaltungsgerichts des Kantons Bern vom 24. März 2016, EL/15/1131, Seite 7</w:t>
      </w:r>
    </w:p>
    <w:p>
      <w:r>
        <w:rPr>
          <w:b/>
        </w:rPr>
        <w:t>E. 5.1</w:t>
      </w:r>
    </w:p>
    <w:p>
      <w:r>
        <w:t>Verfahrenskosten sind keine zu erheben (Art. 1 Abs. 1 ELG i.V.m. Art. 61 lit. a ATSG).</w:t>
      </w:r>
    </w:p>
    <w:p>
      <w:r>
        <w:rPr>
          <w:b/>
        </w:rPr>
        <w:t>E. 5.2</w:t>
      </w:r>
    </w:p>
    <w:p>
      <w:r>
        <w:t>Bei diesem Ausgang des Verfahrens hat die unterliegende Be- schwerdeführerin keinen Anspruch auf eine Parteientschädigung (Umkehr- schluss aus Art. 1 Abs. 1 ELG i.V.m. Art. 61 lit. g ATSG).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