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828 vom 16. April 2015</w:t>
      </w:r>
    </w:p>
    <w:p>
      <w:r>
        <w:t>BE Verwaltungsgericht, 2015-04-16, DE</w:t>
      </w:r>
    </w:p>
    <w:p>
      <w:r>
        <w:rPr>
          <w:b/>
        </w:rPr>
        <w:t xml:space="preserve">Quelle: </w:t>
      </w:r>
      <w:r>
        <w:t>https://mcp.opencaselaw.ch/entscheid/be_verwaltungsgericht_200_2014_828</w:t>
      </w:r>
    </w:p>
    <w:p>
      <w:r>
        <w:t>FR: BE_VERWALTUNGSGERICHT 200 2014 828 du 16 avril 2015</w:t>
      </w:r>
    </w:p>
    <w:p>
      <w:r>
        <w:t>IT: BE_VERWALTUNGSGERICHT 200 2014 828 del 16 aprile 2015</w:t>
      </w:r>
    </w:p>
    <w:p>
      <w:pPr>
        <w:pStyle w:val="Heading2"/>
      </w:pPr>
      <w:r>
        <w:t>Regeste</w:t>
      </w:r>
    </w:p>
    <w:p>
      <w:r>
        <w:t>Verfügung vom 5. August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5. August 2014 (act. IIB 149), mit welcher ein Rentenanspruch verneint wurde. Streitig und zu prüfen ist der Anspruch auf eine Invalidenrente.</w:t>
      </w:r>
    </w:p>
    <w:p>
      <w:r>
        <w:rPr>
          <w:b/>
        </w:rPr>
        <w:t>E. 1.3</w:t>
      </w:r>
    </w:p>
    <w:p>
      <w:r>
        <w:t>Die Abteilungen urteilen gewöhnlich in einer Kammer bestehend aus drei Richterinnen oder Richtern (Art. 56 Abs. 1 GSOG).</w:t>
      </w:r>
    </w:p>
    <w:p>
      <w:r>
        <w:t>Urteil des Verwaltungsgerichts des Kantons Bern vom 16. April 2015, IV/14/828, Seite 6</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w:t>
      </w:r>
    </w:p>
    <w:p>
      <w:r>
        <w:t>Urteil des Verwaltungsgerichts des Kantons Bern vom 16. April 2015, IV/14/828, Seite 7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Vorausset- zungen für eine zumutbare Willensanstrengung zu verneinen (BGE 137 V 64 E. 4.1 S. 67, 136 V 279 E. 3.2.1 S. 282, 131 V 49 E. 1.2 S. 50, 130 V 352 E. 2.2.3 S. 354).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2.6 Wurde eine Rente wegen eines fehlenden oder zu geringen Invali- ditätsgrades bereits einmal verweigert, so wird eine neue Anmeldung nur</w:t>
      </w:r>
    </w:p>
    <w:p>
      <w:r>
        <w:t>Urteil des Verwaltungsgerichts des Kantons Bern vom 16. April 2015, IV/14/828, Seite 8 geprüft, wenn die versicherte Person glaubhaft macht, dass sich der Grad der Invalidität in einer für den Anspruch erheblichen Weise geändert hat (Art. 87 Abs. 2 und 3 der Verordnung über die Invalidenversicherung vom 17. Januar 1961 [IVV; SR 831.201]). Diese Eintretensvoraussetzung soll verhindern, dass sich die Verwaltung immer wieder mit gleichlautenden und nicht näher begründeten, d.h. keine Veränderung des Sachverhalts darle- 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der Beschwerdeführer habe keinen Anspruch auf eine Invalidenrente. Zu prüfen gilt es somit zunächst, ob im Vergleich zur Sach-</w:t>
      </w:r>
    </w:p>
    <w:p>
      <w:r>
        <w:t>Urteil des Verwaltungsgerichts des Kantons Bern vom 16. April 2015, IV/14/828, Seite 9 lage, wie sie der Verfügung vom 2. Juni 2008 (act. IIA 89) zugrunde lag, im Zeitpunkt der vorliegend angefochtenen Verfügung vom 5. August 2014 (act. IIB 149) in den tatsächlichen Verhältnissen eine erhebliche Änderung eingetreten ist, die geeignet ist, den Invaliditätsgrad und damit den Renten- anspruch zu beeinflussen (vgl. E. 2.6 hiervor). Gegebenenfalls ist ansch- liessend der Rentenanspruch allseitig frei zu beurteilen (vgl. BGE 117 V 198 E. 4b S. 200; SVR 2011 IV Nr. 37 S. 109 E. 1.1). 3.2 In der ursprünglichen Verfügung vom 2. Juni 2008 (act. IIA 89) wur- de auf das sowohl vom Verwaltungsgericht (act. IIA 98 S. 15 E. 5) als auch vom Bundesgericht (act. IIB 101 S. 5 E. 4.3) für schlüssig befundene ME- DAS-Gutachten vom 14. März 2007 (act. IIA 80) verwiesen und abgestellt. Darin diagnostizierten die Dres. med. F.________, Facharzt für Allgemeine Innere Medizin sowie Endokrinologie/Diabetologie FMH, G.________, Facharzt für Rheumatologie sowie Allgemeine Innere Medizin FMH, und H.________, Facharzt für Psychiatrie und Psychotherapie FMH, Folgendes mit Auswirkung auf die Arbeitsfähigkeit:</w:t>
      </w:r>
    </w:p>
    <w:p>
      <w:r>
        <w:rPr>
          <w:b/>
        </w:rPr>
        <w:t>E. 6</w:t>
      </w:r>
    </w:p>
    <w:p>
      <w:r>
        <w:t>Oktober 2000 über den Allgemeinen Teil des Sozialversicherungsrechts (ATSG; SR 830.1) in Verbindung mit Art. 54 Abs. 1 lit. a des kantonalen Gesetzes vom 11. Juni 2009 über die Organisation der Gerichtsbehörden und der Staatsanwaltschaft (GSOG; BSG 161.1) Beschwerden gegen sol- che Verfügungen. Der Beschwerdeführer ist im vorinstanzlichen Verfahren mit seinen Anträgen nicht durchgedrungen, durch die angefochtene Verfü- gung berührt und hat ein schutzwürdiges Interesse an deren Aufhebung, weshalb er zur Beschwerde befugt ist (Art. 59 ATSG). Die örtliche Zustän- digkeit ist gegeben (Art. 69 Abs. 1 lit. a des Bundesgesetzes über die Inva- lidenversicherung vom 19. Juni 1959 [IVG; SR 831.20]). Da auch die Be- stimmungen über Frist (Art. 60 ATSG) sowie Form (Art. 61 lit. b ATSG; Art. 81 Abs. 1 in Verbindung mit Art. 32 des kantonalen Gesetzes vom 23. Mai 1989 über die Verwaltungsrechtspflege [VRPG; BSG 155.21]) ein- 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