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811 vom 21. August 2014</w:t>
      </w:r>
    </w:p>
    <w:p>
      <w:r>
        <w:t>BE Verwaltungsgericht, 2014-08-21, DE</w:t>
      </w:r>
    </w:p>
    <w:p>
      <w:r>
        <w:rPr>
          <w:b/>
        </w:rPr>
        <w:t xml:space="preserve">Quelle: </w:t>
      </w:r>
      <w:r>
        <w:t>https://mcp.opencaselaw.ch/entscheid/be_verwaltungsgericht_200_2014_811</w:t>
      </w:r>
    </w:p>
    <w:p>
      <w:r>
        <w:t>FR: BE_VERWALTUNGSGERICHT 200 2014 811 du 21 août 2014</w:t>
      </w:r>
    </w:p>
    <w:p>
      <w:r>
        <w:t>IT: BE_VERWALTUNGSGERICHT 200 2014 811 del 21 agosto 2014</w:t>
      </w:r>
    </w:p>
    <w:p>
      <w:pPr>
        <w:pStyle w:val="Heading2"/>
      </w:pPr>
      <w:r>
        <w:t>Regeste</w:t>
      </w:r>
    </w:p>
    <w:p>
      <w:r>
        <w:t>Einspracheentscheid vom 21. August 2014 (ER RD 968/2014)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w:t>
      </w:r>
    </w:p>
    <w:p>
      <w:r>
        <w:t>Urteil des Verwaltungsgerichts des Kantons Bern vom 3. Feb. 2015, ALV/14/811, Seite 4 beitslosenversicherung und die Insolvenzentschädigung vom 25. Juni 1982 [AVIG; SR 837.0] i.V.m. Art. 128 Abs. 2 der Verordnung über die obligatori- 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Anfechtungsobjekt bildet der Einspracheentscheid vom 21. August 2014 (act. IIA 150), mit welchem die Verfügung vom 20. Juni 2014 (act. IIA 127) bestätigt wurde. In der Beschwerdeantwort vom 27. Oktober 2014 führte der Beschwerdegegner aus, die Vermittlungsfähigkeit ab dem Zeit- punkt der Beschwerdeanhebung (2. September 2014) aufgrund der neu beigebrachten Bestätigung eines Kitaplatzes für den Sohn der Beschwer- deführerin, erneut zu überprüfen. Streitig und zu prüfen ist somit der An- spruch auf Arbeitslosentaggeld und dabei insbesondere die Vermittlungs- fähigkeit vom 30. Mai bis Ende August 2014.</w:t>
      </w:r>
    </w:p>
    <w:p>
      <w:r>
        <w:rPr>
          <w:b/>
        </w:rPr>
        <w:t>E. 1.3</w:t>
      </w:r>
    </w:p>
    <w:p>
      <w:r>
        <w:t>Der Streitwert liegt bei einem geltend gemachten Vermittlungsgrad von 60 % (vgl. Beschwerde) und mit Blick auf die strittige Anspruchsperi- ode von drei Monaten (vgl. E. 1.2 hiervor) unter Fr. 20‘000.-- (vgl. act. II 14 f.),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AVIG hat der Versicherte Anspruch auf Ar- beitslosenentschädigung, wenn er ganz oder teilweise arbeitslos ist (Art. 10), einen anrechenbaren Arbeitsausfall erlitten hat (Art. 11), in der Schweiz wohnt (Art. 12), die obligatorische Schulzeit zurückgelegt und we- der das Rentenalter der AHV erreicht hat noch eine Altersrente der AHV</w:t>
      </w:r>
    </w:p>
    <w:p>
      <w:r>
        <w:t>Urteil des Verwaltungsgerichts des Kantons Bern vom 3. Feb. 2015, ALV/14/811, Seite 5 bezieht, die Beitragszeit erfüllt hat oder von der Erfüllung der Beitragszeit befreit ist (Art. 13 und 14), vermittlungsfähig ist (Art. 15) und die Kontroll- vorschriften erfüllt (Art. 17).</w:t>
      </w:r>
    </w:p>
    <w:p>
      <w:r>
        <w:rPr>
          <w:b/>
        </w:rPr>
        <w:t>E. 2.2</w:t>
      </w:r>
    </w:p>
    <w:p>
      <w:r>
        <w:t>Gemäss Art. 15 Abs. 1 AVIG ist eine arbeitslose Person vermitt- lungsfähig, wenn sie bereit, berechtigt und in der Lage ist, eine zumutbare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 zeit einzusetzen.</w:t>
      </w:r>
    </w:p>
    <w:p>
      <w:r>
        <w:rPr>
          <w:b/>
        </w:rPr>
        <w:t>E. 2.3</w:t>
      </w:r>
    </w:p>
    <w:p>
      <w:r>
        <w:t>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Sind einer versicherten Person bei der Auswahl des Arbeitsplatzes so enge Grenzen gesetzt, dass das Finden einer Stelle sehr ungewiss ist, muss Vermittlungsunfähigkeit angenommen werden. Der Grund für die Einschränkung in den Arbeitsmöglichkeiten spielt dabei keine Rolle (vgl. BGE 120 V 385 E. 3a S. 388, 115 V 434 E. 2a S. 436).</w:t>
      </w:r>
    </w:p>
    <w:p>
      <w:r>
        <w:rPr>
          <w:b/>
        </w:rPr>
        <w:t>E. 2.4</w:t>
      </w:r>
    </w:p>
    <w:p>
      <w:r>
        <w:t>Versicherte, die sich im Hinblick auf anderweitige Verpflichtungen und persönliche Umstände – wie Kinderbetreuungsaufgaben – lediglich während gewisser Tages- oder Wochenstunden erwerblich betätigen wol- len, werden nur sehr bedingt als vermittlungsfähig anerkannt (Entscheid des Bundesgerichts [BGer] vom 3. Januar 2008, 8C_553/2007, E. 2.1). Die Vermittlungsfähigkeit darf aber nicht leichthin unter Verweis auf familiäre Betreuungsaufgaben verneint werden. Eine versicherte Person mit betreu- ungsbedürftigen Kindern muss jedoch hinsichtlich der Vermittlungsfähig- keit, namentlich in Bezug auf die Verfügbarkeit, die gleichen Bedingungen erfüllen wie alle anderen Personen. Es liegt somit an ihr, das Privat- und</w:t>
      </w:r>
    </w:p>
    <w:p>
      <w:r>
        <w:t>Urteil des Verwaltungsgerichts des Kantons Bern vom 3. Feb. 2015, ALV/14/811, Seite 6 Familienleben so zu gestalten, dass sie nicht daran gehindert ist, im Um- fang des geltend gemachten Beschäftigungsgrades bzw. Arbeitsausfalles einer unselbständigen Erwerbstätigkeit nachzugehen. Wie die versicherte Person die Betreuung ihrer Kinder regelt, ist ihr überlassen. Die Durch- führungsstellen dürfen nicht schon zum Zeitpunkt der Anmeldung zum Taggeldbezug einen Obhutsnachweis verlangen. Erscheint hingegen im Verlaufe des Leistungsbezuges der Wille oder die Möglichkeit, die Kinder- betreuung einer Drittperson anzuvertrauen zweifelhaft (ungenügende Ar- beitsbemühungen, Aufgabe der vorangehenden Stelle wegen Betreuungs- pflichten, unhaltbare Anforderungen für die Annahme einer Stelle, Ableh- nung zumutbarer Arbeit, nicht erfüllbare Ansprüche an die Arbeitszeiten etc.), muss die zuständige Amtsstelle die Vermittlungsfähigkeit im Hinblick auf die konkrete Möglichkeit einer Kinderbetreuung prüfen und mittels For- mular einen Obhutsnachweis verlangen (vgl. Entscheid des BGer vom 26. November 2008, 8C_367/2008, E. 4.2; AVIG-Praxis ALE [abrufbar un- ter &lt;www.treffpunkt-arbeit.ch&gt;], Rz. B225 bzw. B225a; vgl. zum Ganzen: MURER/STAUFFER [Hrsg.], Bundesgesetz über die obligatorische Arbeitslo- senversicherung und Insolvenzentschädigung, 4. Aufl. 2013, S. 80 ff.; THOMAS NUSSBAUMER, Arbeitslosenversicherung, in ULRICH MEYER [Hrsg.], Schweizerisches Bundesverwaltungsrecht [SBVR], Band XIV, Soziale Si- cherheit, 2. Aufl. 2007, S. 2260 f. N. 267).</w:t>
      </w:r>
    </w:p>
    <w:p>
      <w:r>
        <w:rPr>
          <w:b/>
        </w:rPr>
        <w:t>E. 2.5</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hiezu aufgrund der Parteivorbringen oder anderer sich aus den Akten ergeben- den Anhaltspunkten hinreichender Anlass besteht (BGE 117 V 282 E. 4a S. 283). Der Untersuchungsgrundsatz gilt indessen nicht uneingeschränkt;</w:t>
      </w:r>
    </w:p>
    <w:p>
      <w:r>
        <w:t>Urteil des Verwaltungsgerichts des Kantons Bern vom 3. Feb. 2015, ALV/14/811, Seite 7 er findet sein Korrelat in den Mitwirkungspflichten der Parteien (BGE 125 V 193 E. 2 S. 195, 122 V 157 E. 1a S. 158; SVR 2009 IV Nr. 4 S. 7 E. 4.2.2).</w:t>
      </w:r>
    </w:p>
    <w:p>
      <w:r>
        <w:rPr>
          <w:b/>
        </w:rPr>
        <w:t>E. 2.6</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w:t>
      </w:r>
    </w:p>
    <w:p>
      <w:r>
        <w:rPr>
          <w:b/>
        </w:rPr>
        <w:t>E. 3.1</w:t>
      </w:r>
    </w:p>
    <w:p>
      <w:r>
        <w:t>Vor der Geburt ihres Sohnes (xx. xxxx 2014; vgl. act. IIA 159) stand die Beschwerdeführerin zuletzt vom Januar 2011 bis Ende Februar 2013 in einem Arbeitsverhältnis mit einem Vollzeitpensum (act. II 10, 28). In der Anmeldung zur Arbeitsvermittlung vom 31. Mai 2013 (act. II 10) gab sie denn auch einen gewünschten Beschäftigungsgrad von 100 % an. Im Ok- tober 2013 hielt sie anlässlich eines Beratungsgesprächs beim RAV fest, dass die Kinderbetreuung nach der Niederkunft durch ihre Mutter gewähr- leistet werde. Letztere konnte Ende Mai 2014 aufgrund politischer Proble- me nicht mehr in die Schweiz einreisen; der Sohn der Beschwerdeführerin befand sich zwischenzeitlich jedoch auf der Warteliste dreier Kitas (act. IIA 158 f., 111). Am 4. Juni 2014 (act. IIA 113) forderte der Beschwer- degegner die Beschwerdeführerin auf, insbesondere zur Betreuung ihres Kindes während der Arbeitszeit bzw. der Dauer einer Arbeitsmarktlichen Massnahme (AMM) Stellung zu nehmen. Aus dem hierauf eingereichten Obhutsnachweis vom 5. Juni 2014 (act. IIA 116) ergibt sich, dass Frau B.________ ab sofort (bzw. ab 3. Juni 2014) jeweils von Mittwoch bis Frei- tag von 08.00 bis 14.00 Uhr oder von 14.00 bis 22.00 Uhr sowie am Sams- tag von 12.00 bis 14.00 Uhr die Kinderbetreuung gewährleisten kann. In der Bestätigung vom 5. Juni 2014 (act. IIA 120) hielt Frau B.________</w:t>
      </w:r>
    </w:p>
    <w:p>
      <w:r>
        <w:t>Urteil des Verwaltungsgerichts des Kantons Bern vom 3. Feb. 2015, ALV/14/811, Seite 8 nochmals fest, dass eine Betreuung ab sofort möglich sei. Telefonisch führ- te die Beschwerdeführerin am 12. Juni 2014 gegenüber dem Beschwerde- gegner aus, die „Hüteperson“ aus ihrem Bekanntenkreis sei lediglich eine Übergangslösung und der Sozialdienst setze sich dafür ein, dass rasch möglichst ein Kitaplatz gefunden werde. Im … sei es üblich, mehr als 8.5 Stunden täglich zu arbeiten. Sie könne sicherlich im Umfang von 80 % ar- beiten (act. IIA 121). Mit Schreiben vom gleichen Tag (act. IIA 123) präzi- sierte sie, ohne Probleme ein 100 %-Pensum aufnehmen zu können, da sie immer mehr als neun Stunden täglich gearbeitet habe. Beschwerdeweise macht sie nun eine Anspruchsberechtigung im Umfang von 60 % geltend.</w:t>
      </w:r>
    </w:p>
    <w:p>
      <w:r>
        <w:rPr>
          <w:b/>
        </w:rPr>
        <w:t>E. 3.2</w:t>
      </w:r>
    </w:p>
    <w:p>
      <w:r>
        <w:t>Zunächst ist festzuhalten, dass vorliegend die Sicherstellung der Kinderbetreuung bei einem Beschäftigungsgrad von 60 % (vgl. Beschwer- de), d.h. während wöchentlich rund 25 Stunden reiner Arbeitszeit (42 Stun- den Normalarbeitszeit x 0.6) zuzüglich der Zeit für die Zurücklegung des zweifachen Arbeitsweges und des Einschaltens der gesetzlichen Pausen, den Beweisgegenstand bildet, mithin im Rahmen des so begrenzten Berei- ches der Beschwerdegegner den Sachverhalt bis zur zweifelsfreien Eruie- rung abzuklären hatte (vgl. UELI KIESER, Kommentar zum ATSG, 2. Aufl. 2009, N 12 zu Art. 43; vgl. auch E. 2.5 hiervor).</w:t>
      </w:r>
    </w:p>
    <w:p>
      <w:r>
        <w:rPr>
          <w:b/>
        </w:rPr>
        <w:t>E. 3.3</w:t>
      </w:r>
    </w:p>
    <w:p>
      <w:r>
        <w:t>Mit Blick auf den in vorstehender Erwägung 3.1 erwähnten Obhuts- nachweis vom 5. Juni 2014 (act. IIA 116) ergibt sich für die Zeit ab 3. Juni 2014 ein maximal mögliches Betreuungsvolumen durch Frau B.________ von 24 Stunden (3 x 8 Stunden [Mittwoch bis Freitag]). Die angegebene mögliche Betreuung am Samstag von 12.00 bis 14.00 Uhr muss dabei aus- ser Acht gelassen werden, da in dieser kurzen Zeitspanne von zwei Stun- den – insbesondere unter Berücksichtigung der für die Zurücklegung des Arbeitsweges benötigten Zeit (siehe sogleich) – eine Verwertung der Ar- beitsfähigkeit nicht realistisch ist. Wird von einem Arbeitsweg von täglich rund einer Stunde (Hin-/Rückweg je 30 Minuten) ausgegangen und die bei einem Arbeitspensum von mehr als sieben Stunden arbeitsgesetzlich vor- gesehene Mindestpause von 30 Minuten (vgl. Art. 15 Abs. 1 Bst. b des Bundesgesetzes über die Arbeit in Industrie, Gewerbe und Handel vom 13. März 1964 [ArG; SR 822.11]) beachtet, so resultiert eine um 4,5 Stun- den reduzierte Netto-Arbeitszeit von maximal 19,5 Stunden (24 Stunden –</w:t>
      </w:r>
    </w:p>
    <w:p>
      <w:r>
        <w:t>Urteil des Verwaltungsgerichts des Kantons Bern vom 3. Feb. 2015, ALV/14/811, Seite 9 [3 x 1 Stunde Arbeitsweg] – [3 x 0.5 Stunden Pause]). Dies entspricht ei- nem Beschäftigungsgrad bzw. einer Anspruchsberechtigung von gerundet 45 % (100 % x 19.5 Stunden / 42 Stunden = 46.4 %), wovon der Be- schwerdegegner im angefochtenen Entscheid (act. IIA 150) ausgegangen ist.</w:t>
      </w:r>
    </w:p>
    <w:p>
      <w:r>
        <w:rPr>
          <w:b/>
        </w:rPr>
        <w:t>E. 3.4</w:t>
      </w:r>
    </w:p>
    <w:p>
      <w:r>
        <w:t>Zu prüfen bleibt, ob Frau B.________ während den angegebenen Zeiten auch tatsächlich in der Lage gewesen wäre, die Betreuung des Sohnes der Beschwerdeführerin sicherzustellen. Dies erscheint deshalb fraglich, weil der Obhutsnachweis nicht unterzeichnet wurde. Auch sind deren Personalien und übrigen persönlichen Lebensumstände nicht be- kannt, so dass die eingangs erwähnte Überprüfung der geltend gemachten Obhutsregelung nicht möglich ist. Es ist nicht Aufgabe des Verwaltungsge- richts, die von der Vorinstanz versäumten weiteren Abklärungen nachzuho- len (vgl. E. 2.5 hiervor), weshalb die Akten zu diesem Zweck an den Be- schwerdegegner zurückzuweisen sind.</w:t>
      </w:r>
    </w:p>
    <w:p>
      <w:r>
        <w:rPr>
          <w:b/>
        </w:rPr>
        <w:t>E. 3.5</w:t>
      </w:r>
    </w:p>
    <w:p>
      <w:r>
        <w:t>Bezüglich der am 2. September 2014 vom Sozialdienst C.________ eingereichten Bestätigung (Eingabe der Beschwerdeführerin [act. I] 1), per Dringlichkeitsgesuch einen Kitaplatz organisieren zu können, ist darauf hinzuweisen, dass die blosse Absichtserklärung, die Kinderbetreuung nöti- genfalls rechtzeitig zu organisieren, mit Blick auf die vorerwähnte Recht- sprechung (vgl. E. 2.4 hiervor) nicht ausreichend ist, um auf eine Vermitt- lungsfähigkeit zu schliessen. Hierzu wäre der Nachweis einer definitiven Kinderbetreuung erforderlich. Dieser Nachweis wurde erst während des Beschwerdeverfahrens erbracht. Da das angerufene Verwaltungsgericht die Gesetzmässigkeit des angefochtenen Verwaltungsakts prinzipiell nach dem Sachverhalt, der zur Zeit des Erlasses des Einspracheentscheids (21. August 2014 [act. IIA 150]) gegeben war beurteilt (vgl. BGE 130 V 138 E. 2.1 S. 140), hat dieses Nova für die vorliegend zu beurteilenden Verhält- nisse unberücksichtigt zu bleiben.</w:t>
      </w:r>
    </w:p>
    <w:p>
      <w:r>
        <w:rPr>
          <w:b/>
        </w:rPr>
        <w:t>E. 4</w:t>
      </w:r>
    </w:p>
    <w:p>
      <w:r>
        <w:t>Nach dem Dargelegten ist die Beschwerde gutzuheissen und der ange- fochtene Einspracheentscheid vom 21. August 2014 (act. IIA 150) aufzu-</w:t>
      </w:r>
    </w:p>
    <w:p>
      <w:r>
        <w:t>Urteil des Verwaltungsgerichts des Kantons Bern vom 3. Feb. 2015, ALV/14/811, Seite 10 heben. Die Akten gehen an den Beschwerdegegner zur Vornahme der Ab- klärungen im Sinne der Erwägungen und anschliessend neuer Verfügung.</w:t>
      </w:r>
    </w:p>
    <w:p>
      <w:r>
        <w:rPr>
          <w:b/>
        </w:rPr>
        <w:t>E. 5.1</w:t>
      </w:r>
    </w:p>
    <w:p>
      <w:r>
        <w:t>In Anwendung von Art. 1 Abs. 1 AVIG i.V.m. Art. 61 lit. a ATSG sind keine Verfahrenskosten zu erheben.</w:t>
      </w:r>
    </w:p>
    <w:p>
      <w:r>
        <w:rPr>
          <w:b/>
        </w:rPr>
        <w:t>E. 5.2</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 Beschwerdeführerin wurde im vorliegenden Verfahren nicht vertreten. Es handelt sich nicht um eine komplizierte Sache mit hohem Streitwert. Die Interessenwahrung hat keinen Arbeitsaufwand erfordert, der den Rahmen dessen überschreitet, was der einzelne üblicher- und zumutbarerweise nebenbei zur Besorgung der persönlichen Angelegenheiten auf sich zu nehmen hat. Zwischen dem betriebenen Aufwand und dem Ergebnis der Interessenwahrung besteht ein vernünftiges Verhältnis (vgl. BGE 127 V 205 E. 4b S. 207). Somit hat die Beschwerdeführerin keinen An- spruch auf eine Parteikostenentschädigung.</w:t>
      </w:r>
    </w:p>
    <w:p>
      <w:r>
        <w:t>Urteil des Verwaltungsgerichts des Kantons Bern vom 3. Feb. 2015, ALV/14/811, Seite 11 Demnach entscheidet der Einzelrichter: 1. In Gutheissung der Beschwerde wird der angefochtene Einspracheent- scheid des beco Berner Wirtschaft vom 21. August 2014 aufgehoben und die Sache an den Beschwerdegegner zurückgewiesen, damit er im Sinne der Erwägungen weitere Abklärungen vornehme und hiernach über die Vermittlungsfähigkeit der Beschwerdeführerin neu verfüge. 2. Es werden weder Verfahrenskosten erhoben noch eine Parteientschä- digung zugesprochen. 3. Zu eröffnen (R): - A.________ - beco Berner Wirtschaft, Arbeitsvermittlung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