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78 vom 13. Dezember 2013</w:t>
      </w:r>
    </w:p>
    <w:p>
      <w:r>
        <w:t>BE Verwaltungsgericht, 2013-12-13, DE</w:t>
      </w:r>
    </w:p>
    <w:p>
      <w:r>
        <w:rPr>
          <w:b/>
        </w:rPr>
        <w:t xml:space="preserve">Quelle: </w:t>
      </w:r>
      <w:r>
        <w:t>https://mcp.opencaselaw.ch/entscheid/be_verwaltungsgericht_200_2014_78</w:t>
      </w:r>
    </w:p>
    <w:p>
      <w:r>
        <w:t>FR: BE_VERWALTUNGSGERICHT 200 2014 78 du 13 décembre 2013</w:t>
      </w:r>
    </w:p>
    <w:p>
      <w:r>
        <w:t>IT: BE_VERWALTUNGSGERICHT 200 2014 78 del 13 dicembre 2013</w:t>
      </w:r>
    </w:p>
    <w:p>
      <w:pPr>
        <w:pStyle w:val="Heading2"/>
      </w:pPr>
      <w:r>
        <w:t>Regeste</w:t>
      </w:r>
    </w:p>
    <w:p>
      <w:r>
        <w:t>Einspracheentscheid vom 13. Dezember 2013 (3.66911.02.2)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w:t>
      </w:r>
    </w:p>
    <w:p>
      <w:r>
        <w:t>Urteil des Verwaltungsgerichts des Kantons Bern vom 5. März 2014, UV/14/78, Seite 4 die Organisation der Gerichtsbehörden und der Staatsanwaltschaft vom 11. Juni 2009 (GSOG; BSG 161.1) Beschwerden gegen solche Entscheide. Zur Beschwerde ist berechtigt, wer durch die angefochtene Verfügung oder den Einspracheentscheid berührt ist und ein schutzwürdiges Interesse an deren Aufhebung oder Änderung hat (Art. 59 ATSG). Im vorliegenden Fall hat die Beschwerdeführerin ein Interesse daran, dass die Leistungspflicht der Beschwerdegegnerin festgestellt wird, da andernfalls die Möglichkeit besteht, dass sie selber (wegen Rückfalls) leistungspflichtig wird. Die Be- schwerdeführerin ist daher beschwerdelegitimiert (vgl. SVR 2009 UV Nr. 5 S. 19 E. 9.2). Da auch die örtliche Zuständigkeit (Art. 58 ATSG) gegeben ist und die Be- stimmungen über Frist (Art. 60 ATSG) sowie Form (Art. 61 lit. b ATSG; Art. 81 Abs. 1 in Verbindung mit Art. 32 VRPG) eingehalten sind, ist auf die Beschwerde einzutreten.</w:t>
      </w:r>
    </w:p>
    <w:p>
      <w:r>
        <w:rPr>
          <w:b/>
        </w:rPr>
        <w:t>E. 1.2</w:t>
      </w:r>
    </w:p>
    <w:p>
      <w:r>
        <w:t>Angefochten ist der Einspracheentscheid vom 13. Dezember 2013 (act. II Z26), mit welchem die Verfügung vom 1. Oktober 2013 (act. II Z15) bestätigt wurde. Streitig und zu prüfen ist, ob die Zürich betreffend das Er- eignis vom 2. April 2013 leistungspflichtig ist.</w:t>
      </w:r>
    </w:p>
    <w:p>
      <w:r>
        <w:rPr>
          <w:b/>
        </w:rPr>
        <w:t>E. 1.3</w:t>
      </w:r>
    </w:p>
    <w:p>
      <w:r>
        <w:t>Streitig ist die Übernahme der Arzt- und Physiotherapiekosten sowie der Taggeldleistungen durch die Beschwerdegegnerin für das Ereignis vom</w:t>
      </w:r>
    </w:p>
    <w:p>
      <w:r>
        <w:rPr>
          <w:b/>
        </w:rPr>
        <w:t>E. 1.4</w:t>
      </w:r>
    </w:p>
    <w:p>
      <w:r>
        <w:t>Das Gericht überprüft den angefochtenen Entscheid frei und ist an die Begehren der Parteien nicht gebunden (Art. 61 lit. c und d ATSG; Art. 80 lit. c Ziff. 1 und Art. 84 Abs. 3 VRPG).</w:t>
      </w:r>
    </w:p>
    <w:p>
      <w:r>
        <w:rPr>
          <w:b/>
        </w:rPr>
        <w:t>E. 2</w:t>
      </w:r>
    </w:p>
    <w:p>
      <w:r>
        <w:t>April 2013. Aufgrund der vorliegenden Akten (act. II Z6, Z9, Z20) ist da- von auszugehen, dass der Streitwert unter Fr. 20‘000.-- liegt, weshalb die Beurteilung der Beschwerde in die einzelrichterliche Zuständigkeit fällt (Art. 57 Abs. 1 GSOG).</w:t>
      </w:r>
    </w:p>
    <w:p>
      <w:r>
        <w:rPr>
          <w:b/>
        </w:rPr>
        <w:t>E. 2.1</w:t>
      </w:r>
    </w:p>
    <w:p>
      <w:r>
        <w:t>Die Beschwerdeführerin macht vorab eine Verletzung des rechtli- chen Gehörs geltend. Sie beanstandet, der Einspracheentscheid sei äus-</w:t>
      </w:r>
    </w:p>
    <w:p>
      <w:r>
        <w:t>Urteil des Verwaltungsgerichts des Kantons Bern vom 5. März 2014, UV/14/78, Seite 5 serst knapp mit wenigen Sätzen und somit ungenügend begründet (vgl. Beschwerde vom 24. Januar 2014, S. 7 Ziff. 15).</w:t>
      </w:r>
    </w:p>
    <w:p>
      <w:r>
        <w:rPr>
          <w:b/>
        </w:rPr>
        <w:t>E. 2.2</w:t>
      </w:r>
    </w:p>
    <w:p>
      <w:r>
        <w:t>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w:t>
      </w:r>
    </w:p>
    <w:p>
      <w:r>
        <w:rPr>
          <w:b/>
        </w:rPr>
        <w:t>E. 2.3</w:t>
      </w:r>
    </w:p>
    <w:p>
      <w:r>
        <w:t>Da die Beschwerde - wie nachfolgend dargelegt wird - ohnehin gut- zuheissen und der angefochtene Einspracheentscheid vom 13. Dezember 2013 (act. II Z26) aufzuheben ist, kann letztlich offen bleiben, ob dieser nicht bereits deshalb aufzuheben wäre, weil er unter Verletzung des recht- lichen Gehörs erlassen worden ist (vgl. BGE 134 V 97 E. 2.9.2 S. 108).</w:t>
      </w:r>
    </w:p>
    <w:p>
      <w:r>
        <w:rPr>
          <w:b/>
        </w:rPr>
        <w:t>E. 3.1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t>Urteil des Verwaltungsgerichts des Kantons Bern vom 5. März 2014, UV/14/78, Seite 6</w:t>
      </w:r>
    </w:p>
    <w:p>
      <w:r>
        <w:rPr>
          <w:b/>
        </w:rPr>
        <w:t>E. 3.2</w:t>
      </w:r>
    </w:p>
    <w:p>
      <w:r>
        <w:t>Die Unfallversicherer haben auch Versicherungsleistungen für die in der Verordnung abschliessend aufgezählten unfallähnlichen Körperschädi- gungen zu übernehmen, sofern diese nicht eindeutig auf Erkrankung oder Degeneration zurückzuführen sind (Art. 6 Abs. 2 UVG; Art. 9 Abs. 2 lit. a-h der Verordnung über die Unfallversicherung vom 20. Dezember 1982 [UVV]). Dabei müssen sämtliche Begriffsmerkmale eines Unfalles mit Aus- nahme der Ungewöhnlichkeit erfüllt sein. Besondere Bedeutung kommt hierbei der Voraussetzung eines äusseren Ereignisses zu, d.h. eines aus- serhalb des Körpers liegenden, objektiv feststellbaren, sinnfälligen, eben unfallähnlichen Vorfalles (BGE 129 V 466 E. 2.2 S. 467). Für die Bejahung eines äusseren auf den menschlichen Körper schädigend einwirkenden Faktors ist stets ein Geschehen verlangt, dem ein gewisses gesteigertes Gefährdungspotenzial innewohnt. Das ist zu bejahen, wenn die zum ein- schiessenden Schmerz führende Tätigkeit im Rahmen einer allgemein ge- steigerten Gefahrenlage vorgenommen wird, wie dies etwa für viele sportli- che Betätigungen zutreffen kann. Der äussere Faktor mit erheblichem Schädigungspotenzial ist sodann auch zu bejahen, wenn die in Frage ste- hende Lebensverrichtung einer mehr als physiologisch normalen und psy- chologisch beherrschten Beanspruchung des Körpers, insbesondere seiner Gliedmassen, gleichkommt (BGE 129 V 466 E. 4.2.2 S. 470; SVR 2011 UV Nr. 6 S. 22 E. 5.2). Einschiessende Schmerzen fallen als Symptome einer Schädigung nach Art. 9 Abs. 2 UVV ausser Betracht, wenn sie allein bei der Vornahme einer alltäglichen Lebensverrichtung auftreten, ohne dass hierzu ein davon un- terscheidbares äusseres Moment hineinspielt. Wer also lediglich beim Auf- stehen, Absitzen, Abliegen, der Bewegung im Raum, Handreichungen usw. einen einschiessenden Schmerz erleidet, welcher sich als Symptom einer Schädigung nach Art. 9 Abs. 2 UVV herausstellt, kann sich nicht auf das Vorliegen einer unfallähnlichen Körperschädigung berufen. Die physiologi- sche Beanspruchung des Skelettes, der Gelenke, Muskeln, Sehnen und Bänder stellt keinen äusseren Faktor dar, dem ein zwar nicht ungewöhnli- ches, jedoch gegenüber dem normalen Gebrauch der Körperteile gestei- gertes Gefährdungspotenzial innewohnen muss (BGE 129 V 466 E. 4.2.2 S. 470; SVR 2011 UV Nr. 6 S. 22 E. 5.2).</w:t>
      </w:r>
    </w:p>
    <w:p>
      <w:r>
        <w:t>Urteil des Verwaltungsgerichts des Kantons Bern vom 5. März 2014, UV/14/78, Seite 7 Ein degenerativer oder pathologischer Vorzustand schliesst eine unfallähn- liche Körperschädigung nicht aus, sofern ein unfallähnliches Ereignis den vorbestehenden Gesundheitsschaden verschlimmert oder manifest werden lässt; es genügt somit, wenn eine schädigende, äussere Einwirkung we- nigstens im Sinne eines Auslösungsfaktors zu den vor- oder überwiegend krankhaften oder degenerativen Ursachen hinzutritt (BGE 123 V 43 E. 2b S. 45; SVR 2008 UV Nr. 15 S. 49 E. 3).</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4.1</w:t>
      </w:r>
    </w:p>
    <w:p>
      <w:r>
        <w:t>Aufgrund der Akten ist erstellt und zwischen den Parteien unbestrit- ten, dass der Versicherte am 2. April 2013 mit den Kindern im Schwimm- bad gewesen ist. Er ist ins Wasser gesprungen, hat mit den Kindern geal- bert, mit Armen und Beinen gerudert und beim Schwimmen ins Wasser</w:t>
      </w:r>
    </w:p>
    <w:p>
      <w:r>
        <w:t>Urteil des Verwaltungsgerichts des Kantons Bern vom 5. März 2014, UV/14/78, Seite 8 geschlagen, um zu spritzen. Beim Aufschlagen ins Wasser wurde die linke Schulter ausgerenkt (act. II Z1, Z6, ZM1 ff.). Ferner ist zu Recht nicht be- stritten, dass das Ereignis vom 2. April 2013 den Unfallbegriff mangels Un- gewöhnlichkeit nicht erfüllt und damit kein Unfall im Rechtssinn vorliegt (vgl. E. 3.1 hiervor). Ein Schlag mit der Hand ins Wasser wird nicht von einem in der Aussenwelt begründeten Umstand „programmwidrig“ beein- flusst, weshalb kein ungewöhnlicher Faktor besteht (BGE 130 V 117 E. 2.1 S. 118). Hingegen ist streitig, ob die Voraussetzungen einer unfallähnlichen Körper- schädigung erfüllt sind (vgl. E. 3.2 hiervor).</w:t>
      </w:r>
    </w:p>
    <w:p>
      <w:r>
        <w:rPr>
          <w:b/>
        </w:rPr>
        <w:t>E. 4.2</w:t>
      </w:r>
    </w:p>
    <w:p>
      <w:r>
        <w:t>Die Ärzte des Spitals D.________ diagnostizierten im Bericht vom 2. Mai 2013 (act. II ZM1) eine vordere und untere Schulterluxation links ohne Nachweis einer ossären Begleitverletzung. Diese Diagnose wurde vom nachbehandelnden Hausarzt bestätigt (Status nach Schulterluxation; vgl. Bericht vom 31. Mai 2013, act. II ZM 2). Unter diesen Umständen ist festzustellen, dass eine der in Art. 9 Abs. 2 UVV abschliessend aufgezählten körperlichen Beeinträchtigungen nach- gewiesen ist, die auf eine unfallähnliche Körperschädigung schliessen lässt (lit. b).</w:t>
      </w:r>
    </w:p>
    <w:p>
      <w:r>
        <w:rPr>
          <w:b/>
        </w:rPr>
        <w:t>E. 4.3</w:t>
      </w:r>
    </w:p>
    <w:p>
      <w:r>
        <w:t>Eine unfallähnliche Körperschädigung wird nur dann einem Unfall gleichgestellt, wenn zusätzlich sämtliche Begriffsmerkmale des Unfalls gemäss Art. 4 ATSG - mit Ausnahme der Ungewöhnlichkeit - erfüllt sind (vgl. E. 3.2 hiervor). Von besonderer Bedeutung ist in diesem Zusammen- hang die Frage, ob das Ereignis durch einen äusseren Faktor bewirkt wur- de, bzw. ob diesem ein Geschehen zu Grunde liegt, dem ein gewisses ge- steigertes Gefährdungspotenzial innewohnt. Führt eine im Rahmen einer sportlichen Tätigkeit vorgenommene Bewe- gung zu einer unfallähnlichen Körperschädigung, ist regelmässig von einer gesteigerten Gefahrenlage auszugehen (vgl. E. 3.2 hiervor). Die Be- schwerdeführerin bringt in ihrer Beschwerde vom 24. Januar 2014 denn auch zu Recht vor, dass der Versicherte den Schlag mit der Hand schwimmend, also ohne festen Stand mit den Füssen auf dem Boden des Schwimmbeckens, ausgeführt habe (S. 6). Schon allein die Tatsache, dass</w:t>
      </w:r>
    </w:p>
    <w:p>
      <w:r>
        <w:t>Urteil des Verwaltungsgerichts des Kantons Bern vom 5. März 2014, UV/14/78, Seite 9 die schädigende Wirkung beim Schwimmen eingetreten ist, weist demnach auf eine gesteigerte Gefahrenlage hin. Von massgeblicher Bedeutung ist hier aber vielmehr, dass beim Spiel mit Kindern - im Speziellen im Wasser - unkontrollierte und unkoordinierte Bewegungen ähnlich einer sportlichen Betätigung üblich sind und dieser Aktivität folglich ein gesteigertes Schädi- gungspotenzial inhärent ist. Entgegen dem Vorbringen der Beschwerdegegnerin (vgl. Beschwerdeant- wort vom 31. Januar 2014) kann es sich beim streitigen Vorfall überdies nicht um eine alltägliche Lebensverrichtung handeln. Beispielhaft wird für alltägliche Lebensverrichtungen in der höchstrichterlichen Rechtsprechung auf Tätigkeiten wie Aufstehen, Absitzen, Abliegen, der Bewegung im Raum, Handreichungen etc. verwiesen (BGE 129 V 466 E. 4.2.2 S. 470). Ein Schlag ins Wasser mit der Hand beim Spielen mit den Kindern kann mit diesen Handlungen nicht gleichgesetzt werden. Im Unterschied zu den ge- nannten Bewegungen handelt es sich beim fraglichen Ereignis aufgrund der durch den Wasserwiderstand einwirkenden Kräfte vielmehr um eine mehr als physiologisch normale Beanspruchung des Körpers (vgl. E. 3.2 hiervor). Die Beschwerdeführerin führt denn auch zu Recht aus, dass je nach Winkel, wie der Arm auf das Wasser aufschlage, das Eintauchen mit einem starken unvorhersehbaren Widerstand verbunden ist (vgl. Be- schwerde vom 24. Januar 2014, S. 6). Der Versicherte musste vorliegend einen möglichst grossen Widerstand beabsichtigt haben, um wie geschil- dert mit einem Handschlag auf das Wasser zu spritzen. Soweit die Beschwerdegegnerin im Einspracheentscheid vom 13. Dezem- ber 2013 (act. II Z26) sowie in ihrer Beschwerdeantwort vom 31. Januar 2014 anführt, im Entscheid des Bundesgerichts (BGer) vom 14. November 2013 (8C_696/2013) sei ein Schlag auf einen Autositz, um eine Hundede- cke in einen Spalt einzuführen, nicht als Tätigkeit mit einem gesteigerten Gefährdungspotenzial angesehen worden, weshalb ein solches auch ei- nem Schlag auf weicheres Wasser nicht innewohnen könne, kann dem nicht gefolgt werden. Die Härte des Objekts, auf welches geschlagen wur- de, ist nicht allein massgebend. Stattdessen muss anhand der Umstände beurteilt werden, ob dem fraglichen Ereignis gesamthaft ein gesteigertes Schädigungspotenzial zu Grunde lag. Vorliegend wird dieses durch die</w:t>
      </w:r>
    </w:p>
    <w:p>
      <w:r>
        <w:t>Urteil des Verwaltungsgerichts des Kantons Bern vom 5. März 2014, UV/14/78, Seite 10 sportliche Betätigung bzw. das unkontrollierte Spiel mit den Kindern be- gründet. Entsprechend beruhen die beiden Fälle auf zwei keineswegs ver- gleichbaren Szenarien. Die Schulterluxation wurde unbestritten dadurch herbeigeführt, dass der Versicherte beim Spiel mit den Kindern ins Wasser geschlagen hat, um zu spritzen. Die Verletzung beruht damit auf einer im Rahmen einer gesteiger- ten Gefahrenlage ausgeführten Bewegung, womit der von der Beschwer- degegnerin bestrittene äussere Faktor bejaht werden muss.</w:t>
      </w:r>
    </w:p>
    <w:p>
      <w:r>
        <w:rPr>
          <w:b/>
        </w:rPr>
        <w:t>E. 4.4</w:t>
      </w:r>
    </w:p>
    <w:p>
      <w:r>
        <w:t>Da keine Hinweise ersichtlich sind, die an der Plötzlichkeit des Er- eignisses oder der Unfreiwilligkeit der gesundheitlichen Beeinträchtigung zweifeln lassen, sind mit Ausnahme der Ungewöhnlichkeit sämtliche Ele- mente des Unfallbegriffs im Sinne von Art. 4 ATSG erfüllt. Dem fraglichen Vorfall liegt nach dem Gesagten eine unfallähnliche Körperschädigung im Sinne von Art. 6 Abs. 2 UVG i.V.m. Art. 9 Abs. 2 UVV zu Grunde. Daran vermag auch der Umstand, dass beim Versicherten ein Vorzustand in Form eines bereits einmal luxierten Schultergelenks vorgelegen hat, nichts zu ändern. Das fragliche Ereignis ist zumindest als Auslösungsfaktor - und insofern als Teilursache - für die eingetretene Körperschädigung zu be- trachten (vgl. E. 3.2 hiervor). Demzufolge hat der im Zeitpunkt des Ereig- nisses zuständige Unfallversicherer die daraus resultierenden Kosten zu tragen.</w:t>
      </w:r>
    </w:p>
    <w:p>
      <w:r>
        <w:rPr>
          <w:b/>
        </w:rPr>
        <w:t>E. 4.5</w:t>
      </w:r>
    </w:p>
    <w:p>
      <w:r>
        <w:t>Die Beschwerde wird gutgeheissen und die Beschwerdegegnerin verpflichtet, für die Folgen des Ereignisses vom 2. April 2013 die gesetzli- chen Leistungen gemäss UVG zu erbringen.</w:t>
      </w:r>
    </w:p>
    <w:p>
      <w:r>
        <w:rPr>
          <w:b/>
        </w:rPr>
        <w:t>E. 5.1</w:t>
      </w:r>
    </w:p>
    <w:p>
      <w:r>
        <w:t>In Anwendung von Art. 61 lit. a ATSG sind keine Verfahrenskosten zu erheben.</w:t>
      </w:r>
    </w:p>
    <w:p>
      <w:r>
        <w:rPr>
          <w:b/>
        </w:rPr>
        <w:t>E. 5.2</w:t>
      </w:r>
    </w:p>
    <w:p>
      <w:r>
        <w:t>Art. 61 lit. g ATSG schliesst die Zusprechung einer Prozessent- schädigung an den Sozialversicherungsträger im kantonalen Verfahren grundsätzlich aus. Der Wendung „obsiegende Beschwerde führende Per-</w:t>
      </w:r>
    </w:p>
    <w:p>
      <w:r>
        <w:t>Urteil des Verwaltungsgerichts des Kantons Bern vom 5. März 2014, UV/14/78, Seite 11 son“ liegt die gesetzgeberische Absicht zu Grunde, den Sozialversicherern keinen Anspruch auf Parteientschädigung einzuräumen (BGE 128 V 124 E. 5b S. 133). Es besteht demnach kein Anspruch auf Parteientschädigung. Demnach entscheidet der Einzelrichter: 1. In Gutheissung der Beschwerde wird der angefochtene Einspracheent- scheid der Zürich Versicherungs-Gesellschaft AG vom 13. Dezember 2013 aufgehoben und die Beschwerdegegnerin verpflichtet, die gesetz- lichen Leistungen gemäss UVG zu erbringen. 2. Es werden weder Verfahrenskosten erhoben noch eine Parteientschä- digung zugesprochen. 3. Zu eröffnen (R): - SUVA - Zürich Versicherungs-Gesellschaft AG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