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663 vom 20. Oktober 2015</w:t>
      </w:r>
    </w:p>
    <w:p>
      <w:r>
        <w:t>BE Verwaltungsgericht, 2015-10-20, DE</w:t>
      </w:r>
    </w:p>
    <w:p>
      <w:r>
        <w:rPr>
          <w:b/>
        </w:rPr>
        <w:t xml:space="preserve">Quelle: </w:t>
      </w:r>
      <w:r>
        <w:t>https://mcp.opencaselaw.ch/entscheid/be_verwaltungsgericht_200_2014_663</w:t>
      </w:r>
    </w:p>
    <w:p>
      <w:r>
        <w:t>FR: BE_VERWALTUNGSGERICHT 200 2014 663 du 20 octobre 2015</w:t>
      </w:r>
    </w:p>
    <w:p>
      <w:r>
        <w:t>IT: BE_VERWALTUNGSGERICHT 200 2014 663 del 20 ottobre 2015</w:t>
      </w:r>
    </w:p>
    <w:p>
      <w:pPr>
        <w:pStyle w:val="Heading2"/>
      </w:pPr>
      <w:r>
        <w:t>Regeste</w:t>
      </w:r>
    </w:p>
    <w:p>
      <w:r>
        <w:t>Einspracheentscheid vom 11. Juni 2014 (6.16615.02.5 - 3.015222)</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1 ATSG). Da auch die Bestimmungen über Frist</w:t>
      </w:r>
    </w:p>
    <w:p>
      <w:r>
        <w:t>Urteil des Verwaltungsgerichts des Kantons Bern vom 20. Okt. 2015, UV/14/663, Seite 4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11. Juni 2014 (act. IIC 338). Streitig und zu prüfen ist der Anspruch auf eine Invali- denrente sowie eine Integritätsentschädigung und dabei insbesondere, ob die Beschwerdegegnerin zu Recht keine höheren Leistungen als die auf einem Invaliditätsgrad von 20 % basierende Rente bzw. einem Integritäts- schaden von 40 % entsprechende Integritätsentschädigung zugesprochen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 rung setzt nebst anderem einen natürlichen und adäquaten Kausalzusam- menhang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w:t>
      </w:r>
    </w:p>
    <w:p>
      <w:r>
        <w:t>Urteil des Verwaltungsgerichts des Kantons Bern vom 20. Okt. 2015, UV/14/663, Seite 5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2.4.1</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Kausalzusammenhanges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w:t>
      </w:r>
    </w:p>
    <w:p>
      <w:r>
        <w:t>Urteil des Verwaltungsgerichts des Kantons Bern vom 20. Okt. 2015, UV/14/663, Seite 6 nach dem Beweisgrad der überwiegenden Wahrscheinlichkeit zu erfolgen (BGE 112 V 30 E. 1b S. 33).</w:t>
      </w:r>
    </w:p>
    <w:p>
      <w:r>
        <w:rPr>
          <w:b/>
        </w:rPr>
        <w:t>E. 2.4.2</w:t>
      </w:r>
    </w:p>
    <w:p>
      <w:r>
        <w:t>Bei organisch nicht objektiv ausgewiesenen Beschwerden ist für die Beurteilung der Adäquanz vom augenfälligen Geschehensablauf aus- zugehen, und es sind je nachdem weitere unfallbezogene Kriterien einzu- beziehen.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w:t>
      </w:r>
    </w:p>
    <w:p>
      <w:r>
        <w:t>Urteil des Verwaltungsgerichts des Kantons Bern vom 20. Okt. 2015, UV/14/663, Seite 7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w:t>
      </w:r>
    </w:p>
    <w:p>
      <w:r>
        <w:rPr>
          <w:b/>
        </w:rPr>
        <w:t>E. 2.4.3</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Abhängig von der Unfallschwere sind je nachdem weitere Kriterien in die Beurteilung einzubeziehen. Diese werden unter Ausschluss psychischer Aspekte ge- prüft (BGE 140 V 356 E. 5.1 S. 359). Bei banalen Unfällen wie z.B. bei geringfügigem Anschlagen des Kopfes oder Übertreten des Fusses und bei leichten Unfällen wie z.B. einem ge- wöhnlichen Sturz oder Ausrutschen kann der adäquate Kausalzusammen-</w:t>
      </w:r>
    </w:p>
    <w:p>
      <w:r>
        <w:t>Urteil des Verwaltungsgerichts des Kantons Bern vom 20. Okt. 2015, UV/14/663, Seite 8 hang zwischen Unfall und psychischen Gesundheitsstörungen in der Regel ohne weiteres verneint werden, weil aufgrund der allgemeinen Lebenser- fahrung, aber auch unter Einbezug unfallmedizinischer Erkenntnisse davon ausgegangen werden darf, dass ein solcher Unfall nicht geeignet ist, einen erheblichen Gesundheitsschaden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w:t>
      </w:r>
    </w:p>
    <w:p>
      <w:r>
        <w:t>Urteil des Verwaltungsgerichts des Kantons Bern vom 20. Okt. 2015, UV/14/663, Seite 9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 E. 6b S. 367, BGE 115 V 133 E. 6c bb S. 140; vgl. RKUV 1997 U 272 S. 174 E. 4b).</w:t>
      </w:r>
    </w:p>
    <w:p>
      <w:r>
        <w:rPr>
          <w:b/>
        </w:rPr>
        <w:t>E. 2.5</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w:t>
      </w:r>
    </w:p>
    <w:p>
      <w:r>
        <w:t>Urteil des Verwaltungsgerichts des Kantons Bern vom 20. Okt. 2015, UV/14/663, Seite 10</w:t>
      </w:r>
    </w:p>
    <w:p>
      <w:r>
        <w:rPr>
          <w:b/>
        </w:rPr>
        <w:t>E. 2.6</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w:t>
      </w:r>
    </w:p>
    <w:p>
      <w:r>
        <w:rPr>
          <w:b/>
        </w:rPr>
        <w:t>E. 3.1</w:t>
      </w:r>
    </w:p>
    <w:p>
      <w:r>
        <w:t>Dass das in der Unfallmeldung (act. IIA 1) geschilderte Ereignis, wenngleich es weder mit den tatsächlich erlittenen Verletzungen (act. II 10) noch mit den Erkenntnissen der Unfallanalyse (act. IIA 13) übereinstimmt (VGE UV/2010/1263 E. 3.1 [act. IIB 260/10]), die kumulativen Anspruchs- voraussetzungen des Unfallbegriffs gemäss Legaldefinition (vgl. E. 2.1 hie- vor) erfüllt, ist zu Recht unbestritten.</w:t>
      </w:r>
    </w:p>
    <w:p>
      <w:r>
        <w:rPr>
          <w:b/>
        </w:rPr>
        <w:t>E. 3.2</w:t>
      </w:r>
    </w:p>
    <w:p>
      <w:r>
        <w:t>Was die medizinische Situation und insbesondere die natürliche Unfallkausalität anbelangt, stützte sich die Verfügung vom 18. Oktober 2013 (act. IIC) bzw. der angefochtene Einspracheentscheid vom 11. Juni 2014 (act. IIC 338) auf das im Nachgang zum besagten Rückweisungsent- scheid erstellte polydisziplinäre MEDAS-Gutachten vom 5. Februar 2013 (act. IIB 295) sowie dessen Ergänzung vom 14. August 2013 (act. IIB 314). In diagnostischer Hinsicht wurde in der Expertise das Nachstehende fest- gehalten (act. IIB 295/66 f. Ziff. 5.4): - Chronisches zervikozephales und zervikobrachiales, rechtsseiti- ges myofasziales Schmerzsyndrom mit/bei: - Status nach HWS-Dezelerationstrauma infolge Heck-/Sei- tenkollision am 19. Juli 2002 - Status nach Diskektomie HWK 6/7, foraminaler Diskektomie C7 rechts und Interposition eines trikortikalen Beckenspans HWK 6/7 am 4. Februar 2003 - Status nach Diskektomie und DCI-Prothesen (Dynamisches Zervikales Implantat) HWK 4/5 und HWK 5/6 im September 2011 bei - degenerativen Diskopathien - residuellem sensiblem Ausfallsyndrom C7 und C8 rechts, ohne motorische Ausfälle - myofaszialem Schmerzsyndrom</w:t>
      </w:r>
    </w:p>
    <w:p>
      <w:r>
        <w:t>Urteil des Verwaltungsgerichts des Kantons Bern vom 20. Okt. 2015, UV/14/663, Seite 11 - Unkovertebralarthrosen HWK 3/4 bis HWK 5/6 - Osteochondrose HWK 3/4 - Residuelle Einschränkung der Schulterbeweglichkeit rechts bei anamnestisch: - Status nach Schulterarthroskopie, subakromialer Dekom- pression, Entfernung der lateralen Klavikula-Osteophyten, Bizeps-Sternotomie, Mini-Eröffnung der Supraspinatussehne sowie des Bizeps im Sulkus bicipitalis am 28. November 2008 wegen subakromialem Impingement sowie Unter- flächenläsion der Supraspinatussehne mit Läsion der langen Bizepssehne intraartikulär - Neurasthenie - Differentialdiagnose: dissoziative Störung, gemischt (= Kon- versionsstörung) - Differentialdiagnose: Entwicklung körperlicher Symptome aus psychischen Gründen - Narzisstisch-histrionisch akzentuierte Persönlichkeitszüge - Anamnestisch verifizierte leichte Innenohrschwerhörigkeit - Verdacht auf psychogene mittel- bis hochgradige Schwerhörig- keit und psychogenen Tinnitus (otoakustische Emissionen im Jahr 2004 im Spital F.________) - Status nach Entfernung eines Lebertumors unklarer Genese im Jahr 1991 - Status nach Bauchwandplastik Die Experten erklärten unter anderem, die degenerativen Veränderungen an der HWS und die Folgen der dort vorgenommenen operativen Eingriffe seien eindeutig nachweisbar. Die vom Exploranden geklagten Nacken- schmerzen könnten zum grossen Teil in Korrelation mit diesen Befunden gebracht werden. Die Tinnitus-Messungen seien dagegen nur aufgrund erfragter subjektiver Angaben möglich, dasselbe gelte für die Festlegung der Hörschwellen. Die leichte Schwerhörigkeit sei im Jahr 2004 im Spital F.________ mit otoakustischen Emissionen verifiziert worden (act. IIB 295/67 Ziff. 5.5). Bezüglich der vorbestandenen degenerativen Verände- rungen der HWS müsse von einer durch den Unfall verursachten richtung- gebenden Verschlimmerung ausgegangen werden. Auch der Tinnitus so- wie die leichte Schwerhörigkeit stünden überwiegend wahrscheinlich in einem Zusammenhang mit dem Unfallereignis, vorbestehend sei dagegen die narzisstisch-akzentuierte Persönlichkeit mit ausgeprägter Leistungsbe- reitschaft (act. IIB 295/68 f. Ziff. 5.5.2). Bei der diagnostizierten Neurasthe- nie handle es sich um ein im Vordergrund stehendes eigenständiges psy- chosomatisches Leiden, dass zwar durch den Unfall ausgelöst worden sei, aber nicht eine spezifische durch das HWS-Trauma verursachte Entität darstelle (act. IIB 295/73 Ziff. 5.7.2). In der bisherigen Tätigkeit habe unter</w:t>
      </w:r>
    </w:p>
    <w:p>
      <w:r>
        <w:t>Urteil des Verwaltungsgerichts des Kantons Bern vom 20. Okt. 2015, UV/14/663, Seite 12 Berücksichtigung der unfallbedingten organisch nachweisbaren Beschwer- den ab September 2008 eine 30%ige, ab November 2010 eine 50%ige und ab 1. Juli 2011 für zirka drei Monate eine vollständige Arbeitsunfähigkeit bestanden. Seither bestehe eine Restarbeitsfähigkeit von 80 % (act. IIB 295/75 Ziff. 5.8.1), wobei durch die unfallbedingten organisch nicht nach- weisbaren Beschwerden von einer zusätzlichen 30%igen Arbeitsunfähigkeit und damit gesamthaft von einer 50%igen Arbeitsunfähigkeit auszugehen sei (act. IIB 295/76 Ziff. 5.8.2). Für eine leidensadaptierte Tätigkeit gälten dieselben Arbeitsunfähigkeitsgrade wie für die angestammte Beschäftigung (act. IIB 295/77 Ziff. 5.9.1 f.). Den Integritätsschaden schätzten die Gutach- ter auf 40 % (act. IIB 295/78 Ziff. 5.10). In einem Bericht der Abteilung Versicherungsmedizin der Beschwerdegeg- nerin vom 3. Mai 2013 (act. IIB 301) äusserte Dr. med. G.________, Fach- arzt für Neurologie, Kritik am Gutachten. Hierzu nahm das MEDAS am 14. August 2013 aufforderungsgemäss Stellung und beantwortete Ergän- zungsfragen des Beschwerdeführers (act. IIB 304), wobei es an seinen Schlussfolgerungen im Gutachten festhielt (act. IIB 314).</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20. Okt. 2015, UV/14/663, Seite 13 Indizien gegen die Zuverlässigkeit der Expertise sprechen (BGE 125 V 351 E. 3b bb S. 353; SVR 2009 IV Nr. 50 S. 154 E. 4.3).</w:t>
      </w:r>
    </w:p>
    <w:p>
      <w:r>
        <w:rPr>
          <w:b/>
        </w:rPr>
        <w:t>E. 3.4</w:t>
      </w:r>
    </w:p>
    <w:p>
      <w:r>
        <w:t>Die gutachterliche Beurteilung der MEDAS-Experten erfüllt grundsätzlich die höchstrichterlichen Beweisanforderungen (vgl. E. 3.3 hie- vor) und erbringt damit vollen Beweis. Insbesondere basiert die umfassen- de (act. IIB 295/2 Ziff. 1) Expertise auf der vollständigen Aktenlage (act. IIB 295/3 ff. Ziff. 2) und den Erkenntnissen aus den klinischen Explorationen sowie den bildgebenden (act. IIB 295/31 Ziff. 4.2.3, 295/39 Ziff. 4.3.3, 295/57 Ziff. 4.6.6), audiometrischen (act. IIB 295/48 f. Ziff. 4.5.3) und test- psychologischen (act. IIB 295/58-61) Untersuchungen. Die differenzierten Schlussfolgerungen sind nachvollziehbar und überzeugend, zumal die von Dr. med. G.________ geäusserte Kritik (act. IIB 301) mit der eingehenden Stellungnahme vom 14. August 2013 (act. IIB 314) entkräftet wurde.</w:t>
      </w:r>
    </w:p>
    <w:p>
      <w:r>
        <w:rPr>
          <w:b/>
        </w:rPr>
        <w:t>E. 3.4.1</w:t>
      </w:r>
    </w:p>
    <w:p>
      <w:r>
        <w:t>Zwar erscheint die Einschätzung der Arbeitsunfähigkeit vorder- hand insoweit widersprüchlich, als die Gutachter einerseits erklärten, im September 2008 habe eine ähnliche Behinderung wie aktuell bestanden, sie andererseits jedoch angaben, die Einschränkung habe damals 30 % betragen, während sie aktuell bei 20 % liege (act. IIB 295/75 Ziff. 5.8.1). Aus den weiteren Ausführungen in diesem Zusammenhang erhellt aber ohne weiteres, dass es sich bei der vermerkten Arbeitsunfähigkeit von 30 % um einen Verschrieb handelt und eigentlich eine solche von 20 % gemeint war: Das Zumutbarkeitsprofil vor der Exazerbation im November 2010 war auf die chronischen Nackenbeschwerden ausgerichtet, die auch nach der Rekonvaleszenz im Zusammenhang mit dem zweiten operativen Eingriff vom 1. Juli 2011 bei unverändertem Zumutbarkeitsprofil zur 20%igen Arbeitsunfähigkeit führten (act. IIB 295/76 f. Ziff. 5.8.1 und 5.9.1). Dies korreliert auch mit den Feststellungen der Gutachter gegenüber der Invalidenversicherung (act. IIB 295/83 Ziff. 7.13).</w:t>
      </w:r>
    </w:p>
    <w:p>
      <w:r>
        <w:rPr>
          <w:b/>
        </w:rPr>
        <w:t>E. 3.4.2</w:t>
      </w:r>
    </w:p>
    <w:p>
      <w:r>
        <w:t>Des Weiteren scheinen sich die Gutachter bezüglich des natürli- chen Kausalzusammenhangs unter Hinweis auf die asymptomatische Si- tuation vor dem Unfallereignis teilweise auf die beweisrechtlich unmassge- bliche Formel «post hoc, ergo propter hoc» (vgl. BGE 119 V 335 E. 2b bb S. 341; SVR 2008 UV Nr. 11 S. 36 E. 4.2.3) gestützt zu haben (act. IIB 295/68 Ziff. 5.5.2, 295/72 Ziff. 5.6.1), gleichzeitig wiesen sie aber bezüglich</w:t>
      </w:r>
    </w:p>
    <w:p>
      <w:r>
        <w:t>Urteil des Verwaltungsgerichts des Kantons Bern vom 20. Okt. 2015, UV/14/663, Seite 14 der subjektiven Beschwerden auch auf die prämorbide Persönlichkeit hin und räumten ein, dass sie nicht abschliessend zu beurteilen vermögen, wie sich der hypothetische Verlauf ohne Einfluss des versicherten Ereignisses präsentiert hätte (act. IIB 295/71 Ziff. 5.6). Wie es sich damit verhält, ist hier letztlich unerheblich, denn zumindest die natürliche Kausalität der Nacken- beschwerden im Sinne einer Aktivierung des degenerativen Vorzustandes wurde insbesondere aufgrund der komplizierenden Faktoren und der er- folgten invasiven Therapien einleuchtend begründet (act. IIB 295/69 Ziff. 5.5.3, 315/3 f.). Was dagegen die nicht organisch objektivierbaren Be- schwerden anbelangt, fehlt es aus rechtlicher Sicht – wie nachfolgend auf- gezeigt wird (vgl. E. 4.3 hienach) – ohnehin an der Adäquanz, womit dies- bezüglich die Tatfrage der natürlichen Unfallkausalität offen bleiben kann.</w:t>
      </w:r>
    </w:p>
    <w:p>
      <w:r>
        <w:rPr>
          <w:b/>
        </w:rPr>
        <w:t>E. 3.4.3</w:t>
      </w:r>
    </w:p>
    <w:p>
      <w:r>
        <w:t>Schliesslich verfängt auch die beschwerdeweise erhobene Kritik am Administrativgutachten nicht. Unter anderem schliesst der Umstand, dass im Gutachten die gesamte Symptomatik organisch-, psychosoma- tisch- und psychisch-bedingt als durch den Unfall ausgelöst qualifiziert wurde (act. IIB 295/72 Ziff. 5.6.2), nicht aus, dass sich danach ein ei- genständiges psychosomatisches Leiden entwickelte (act. IIB 295/73 Ziff. 5.7.2; Beschwerde S. 4 Ziff. III Art. 2), was die Frage beschlägt, nach welcher Praxis die Adäquanzbeurteilung vorzunehmen ist (vgl. E. 2.4.2 hievor). Soweit der Beschwerdeführer sodann vorbringt (Beschwerde S. 5 Ziff. III Art. 3), er habe jahrelang erfolgreich seine bisherige Tätigkeit aus- üben können, kontrastiert dies nicht mit der gutachterlichen Feststellung, dass die narzisstisch-histrionisch akzentuierte Persönlichkeitsstruktur vor- bestanden habe, denn die Gutachter wiesen darauf hin, dass dies in der Vergangenheit offenbar nie zu einer Dekompensation mit psychischem Leiden geführt habe (act. IIB 295/74 Ziff. 5.7.4). Unmassgeblich ist in die- sem Zusammenhang im Übrigen, dass der Explorand vom psychiatrischen Gutachter als «narzisstisch» bezeichnet (act. IIB 295/55 Ziff. 4.6.5) und im Rahmen der konsensualen interdisziplinären Beurteilung als «sehr narziss- tisch» beschrieben wurde (act. IIB 295/71 Ziff. 5.6); diese scheinbare mar- ginale Differenz ist nicht geeignet, den Beweiswert des schlüssigen Gut- achtens zu erschüttern (Beschwerde S. 5 Ziff. III Art. 3). Das Argument, wonach ein «objektiver Tinnitus» vorliege, weil er messtechnisch habe nachgewiesen werden können (Beschwerde S. 7 Ziff. III Art. 5), findet in</w:t>
      </w:r>
    </w:p>
    <w:p>
      <w:r>
        <w:t>Urteil des Verwaltungsgerichts des Kantons Bern vom 20. Okt. 2015, UV/14/663, Seite 15 den medizinischen Akten keinen Rückhalt. Im Gutachten wurde darauf hin- gewiesen, dass die Tinnitus-Messungen nur aufgrund erfragter subjektiver Angaben möglich seien (act. IIB 295/67 Ziff. 5.5; vgl. auch BGE 138 V 248 E. 5.9.1 S. 257). Es besteht rechtsprechungsgemäss keine gesicherte Grundlage, um einen Tinnitus als körperliches Leiden zu betrachten oder ihn einer organischen Ursache zuzuordnen (BGE 138 V 248 E. 5.10 S. 258). Der Beschwerdeführer führt nicht näher aus, inwiefern bei ihm dennoch von einer Objektivierbarkeit auszugehen bzw. eine Organizität erstellt wäre. Im Übrigen sprachen die Resultate der im Jahr 2004 im Spital F.________ vorgenommenen otoakustischen Emissionsmessung für ein normales oder praktisch normales peripheres Gehör und es wurde lediglich eine (hier unmassgebliche) knapp leichtgradige Schwerhörigkeit in Betracht gezogen (act. IIA 66; vgl. auch act. IIA 116); der Beschwerdeführer klagt hingegen über eine mittel- bis hochgradige Schwerhörigkeit.</w:t>
      </w:r>
    </w:p>
    <w:p>
      <w:r>
        <w:rPr>
          <w:b/>
        </w:rPr>
        <w:t>E. 3.5</w:t>
      </w:r>
    </w:p>
    <w:p>
      <w:r>
        <w:t>Als Zwischenergebnis ist festzuhalten, dass sich die Beschwerde- gegnerin in tatsächlicher Hinsicht zu Recht auf das Administrativgutachten vom 5. Februar 2013 (act. IIB 295) stützte. Zu prüfen gilt es im Weiteren, ob sie den zugesprochenen Leistungen zulässigerweise hauptsächlich die Folgen der objektivierbaren Beeinträchtigungen an der HWS zugrunde leg- te und aus rechtlicher Sicht die adäquate Unfallkausalität der organisch nicht nachweisbaren, psychisch bedingten Beschwerden verneinte. Da der medizinische Endzustand per 30. September 2008 erreicht war und per dato der Fallabschluss im Sinne von Art. 19 Abs. 1 UVG erfolgte (act. IIA 198), steht der Adäquanzprüfung nichts im Weg (vgl. E. 2.5 hievor; BGE 134 V 109 E. 3.2 S. 113).</w:t>
      </w:r>
    </w:p>
    <w:p>
      <w:r>
        <w:t>Urteil des Verwaltungsgerichts des Kantons Bern vom 20. Okt. 2015, UV/14/663, Seite 16</w:t>
      </w:r>
    </w:p>
    <w:p>
      <w:r>
        <w:rPr>
          <w:b/>
        </w:rPr>
        <w:t>E. 4</w:t>
      </w:r>
    </w:p>
    <w:p>
      <w:r>
        <w:t>Aufl. 2012, S. 62), kann aber letztlich offen bleiben, denn nach den zu- treffenden Ausführungen der Beschwerdegegnerin (act. IIC 338/7 ff. E. 6c) – die unbestritten geblieben sind und auf die verwiesen werden kann – wä- re die Adäquanz selbst unter Annahme eines mittelschweren Unfalls im Grenzbereich zu den leichten Unfällen zu verneinen.</w:t>
      </w:r>
    </w:p>
    <w:p>
      <w:r>
        <w:rPr>
          <w:b/>
        </w:rPr>
        <w:t>E. 4.1</w:t>
      </w:r>
    </w:p>
    <w:p>
      <w:r>
        <w:t>S. 325).</w:t>
      </w:r>
    </w:p>
    <w:p>
      <w:r>
        <w:rPr>
          <w:b/>
        </w:rPr>
        <w:t>E. 4.2</w:t>
      </w:r>
    </w:p>
    <w:p>
      <w:r>
        <w:t>Der Unfall ist in den Akten dokumentiert. Insbesondere liegen ein Polizeirapport (act. IIA 7), eine Unfallanalyse (act. IIA 13) sowie eine bio- mechanische Kurzbeurteilung (act. IIA 18) vor. Es ergibt sich im Wesentli- chen folgender Hergang: Der Beschwerdeführer war am 19. Juli 2002 um zirka 12.20 Uhr mit einem Personenwagen auf einer trockenen und mit einer Höchstgeschwindigkeit von 60 km/h signalisierten mehrspurigen Hauptstrasse unterwegs. Er und der ihm folgende Lieferwagen fuhren mit einer Geschwindigkeit von zirka 50 km/h. Vor einer Lichtsignalanlage, die vom Grün- auf Gelb- respektive Rotlicht wechselte, hielt der Beschwerde- führer an. Der nachfolgende Lenker des Lieferwagens bemerkte das Anhal- temanöver zu spät und prallte – trotz Ausweichens auf die linke Fahrspur und Vollbremsung – gegen das linke Heck des Personenwagens (act. IIA 7/3 f.). Beim Personenwagen wurde der Stossfänger, die Heckleuchte, der linke Kotflügel und das Seitenteil, die Seitenscheibe und das Rad hinten links beschädigt; der Lieferwagen erlitt Schäden am Stossfänger, an der Motorhaube, am Scheinwerfer, Kotflügel, Kühler und am Luftfilter (act. IIA 13/2 Ziff. 5). Die kollisionsbedingte Geschwindigkeitsänderung (∆-V) des Personenwagens soll zwischen 4.5 km/h und 11 km/h betragen haben, wobei der überwiegend wahrscheinliche Wert an der unteren Grenze liegen</w:t>
      </w:r>
    </w:p>
    <w:p>
      <w:r>
        <w:t>Urteil des Verwaltungsgerichts des Kantons Bern vom 20. Okt. 2015, UV/14/663, Seite 17 soll (act. II 13/4 Ziff. 6.3 lit. a bzw. b, 13/5 Ziff. 10). Nach eigenen Angaben trug der Beschwerdeführer den Sicherheitsgurt, sass leicht geduckt mit Blick nach rechts oben auf die Lichtsignalanlage im Fahrzeug und war auf den Aufprall gefasst (act. IIA 4/2, 7/9).</w:t>
      </w:r>
    </w:p>
    <w:p>
      <w:r>
        <w:rPr>
          <w:b/>
        </w:rPr>
        <w:t>E. 4.3</w:t>
      </w:r>
    </w:p>
    <w:p>
      <w:r>
        <w:t>Die Beschwerdegegnerin kategorisierte diesen Verkehrsunfall als leichten Unfall (act. IIC 338/7 E. 6b), da das ∆-V nicht einmal klar innerhalb der Harmlosigkeitsgrenze liege. Hierzu ist zu bemerken, dass das Bundes- gericht die Einführung der in der Lehre teilweise postulierten Grenzwerte verworfen hat (BGE 134 V 109 E. 8.3 S. 121) und hier aufgrund der biome- chanischen Besonderheiten (Lebensalter, degenerativer Vorzustand, Kör- perhaltung [act. II 18/2]) kein klassischer Fall vorliegt. Ob tatsächlich ein banaler oder leichter Unfall vorliegt, ist auch mit Blick auf die Kasuistik frag- lich (vgl. RUMO-JUNGO/HOLZER, Bundesgesetz über die Unfallversicherung,</w:t>
      </w:r>
    </w:p>
    <w:p>
      <w:r>
        <w:rPr>
          <w:b/>
        </w:rPr>
        <w:t>E. 4.4</w:t>
      </w:r>
    </w:p>
    <w:p>
      <w:r>
        <w:t>Nach dem Gesagten zog die Beschwerdegegnerin die organisch nicht nachweisbaren, psychisch bedingten Beschwerden mangels eines adäquaten Kausalzusammenhangs zum Unfallereignis vom 19. Juli 2002 richtigerweise nicht in die Beurteilung des Rentenanspruchs bzw. der Inva- liditätsentschädigung mit ein. Damit erübrigen sich auch Weiterungen zur Frage der Invalidisierung dieser unklaren Beschwerden im Sinne von BGE 141 V 281 (vgl. Entscheid des Bundesgerichts [BGer] vom 5. Sep- tember 2015, 8C_10/2015, E. 5.2 [zur Publikation vorgesehen]).</w:t>
      </w:r>
    </w:p>
    <w:p>
      <w:r>
        <w:rPr>
          <w:b/>
        </w:rPr>
        <w:t>E. 5.1</w:t>
      </w:r>
    </w:p>
    <w:p>
      <w:r>
        <w:t>Ist die versicherte Person infolge des Unfalles zu mindestens 10 % invalid (Art. 8 ATSG), so hat sie Anspruch auf eine Invalidenrente (Art. 18 Abs. 1 UVG). Der Bundesrat regelt die Bemessung des Invaliditätsgrades in Sonderfällen. Er kann dabei auch von Art. 16 ATSG abweichen (Art. 18 Abs. 2 UVG).</w:t>
      </w:r>
    </w:p>
    <w:p>
      <w:r>
        <w:t>Urteil des Verwaltungsgerichts des Kantons Bern vom 20. Okt. 2015, UV/14/663, Seite 18</w:t>
      </w:r>
    </w:p>
    <w:p>
      <w:r>
        <w:rPr>
          <w:b/>
        </w:rPr>
        <w:t>E. 5.2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Wird eine Schätzung vorgenommen, so muss diese nicht unbedingt in einer ziffernmässigen Festlegung von Annäherungswerten bestehen. Vielmehr kann auch eine Gegenüberstellung blosser Prozentzahlen genügen. Das ohne Invalidität erzielbare hypothetische Einkommen ist alsdann mit 100 % zu bewerten, während das Invalideneinkommen auf einen entsprechend kleineren Prozentsatz veranschlagt wird, so dass sich aus der Prozentdiffe- renz der Invaliditätsgrad ergibt (sog. Prozentvergleich; BGE 114 V 310 E. 3a S. 313, 107 V 17 E. 2d S. 22, 104 V 135 E. 2b S. 137).</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5.2.2</w:t>
      </w:r>
    </w:p>
    <w:p>
      <w:r>
        <w:t>Für die Festsetzung des Invalideneinkommens ist primär von der beruflich-erwerblichen Situation auszugehen, in welcher die versicherte</w:t>
      </w:r>
    </w:p>
    <w:p>
      <w:r>
        <w:t>Urteil des Verwaltungsgerichts des Kantons Bern vom 20. Okt. 2015, UV/14/663, Seite 19 Person konkret steht (BGE 139 V 592 E. 2.3 S. 593; SVR 2014 IV Nr. 37 S. 133 E. 7.1). Hat die versicherte Person nach Eintritt des Gesundheits- schadens keine oder jedenfalls keine ihr an sich zumutbare neue Erwerbs- tätigkeit aufgenommen, so können nach der Rechtsprechung entweder Tabellenlöhne gemäss den vom Bundesamt für Statistik (BFS) periodisch herausgegebenen Lohnstrukturerhebungen (LSE) oder Lohnangaben aus der Dokumentation von Arbeitsplätzen (DAP) der SUVA herangezogen werden (BGE 139 V 592 E. 2.3 S. 593).</w:t>
      </w:r>
    </w:p>
    <w:p>
      <w:r>
        <w:rPr>
          <w:b/>
        </w:rPr>
        <w:t>E. 5.3</w:t>
      </w:r>
    </w:p>
    <w:p>
      <w:r>
        <w:t>Das bisherige Arbeitsverhältnis wurde aus medizinischen Gründen aufgelöst (act. IIA 46) und würde im hypothetischen Gesundheitsfall über- wiegend wahrscheinlich weiter bestehen. Für die Situation mit Gesund- heitsschaden ist allein auf die bescheinigte 20%ige Arbeitsunfähigkeit seit September 2008 abzustellen (act. IIB 295/75 Ziff. 5.8.1, 295/77 Ziff. 5.9.1), da die mit 30 % veranschlagten psychosomatischen Anteile (act. IIB 295/76 f. Ziff. 5.8.2 und 5.9.2) auszuklammern sind. Im parallelen Invalidenversicherungsverfahren ermittelte die IV-Stelle den Invaliditätsgrad anhand der ordentlichen Einkommensvergleichsmethode (vgl. das heute ergangene Urteil des Verwaltungsgerichts, IV/2014/547, E. 5.2.2), während im Unfallversicherungsverfahren die Beschwerdegegne- rin einen Prozentvergleich vornahm. Weil trotz bestehendem Gesundheits- schaden ein beachtliches Rendement von 80 % zumutbar bleibt, ist plausi- bel, dass der Beschwerdeführer in seiner bisherigen Funktion entweder bei seiner letzten Arbeitgeberin oder an einem anderen Arbeitsplatz durch die nach wie vor zumutbare hoch qualifizierte Tätigkeit ein (proportional) ver- gleichbares Lohnniveau erzielen könnte. Bei dieser Ausgangslage verzich- tete die Beschwerdegegnerin zulässigerweise auf die Durchführung eines Einkommensvergleichs und ist der vorgenommene Prozentvergleich nicht zu beanstanden (vgl. Entscheid des BGer vom 6. Oktober 2009, 9C_734/2009, E. 2.2). Damit besteht ab 1. Oktober 2008 (Art. 19 Abs. 1 UVG; act. IIA 198/1) ein auf einem Invaliditätsgrad von 20 % basierender Rentenanspruch. Der spätere erneute Heilbehandlungsbedarf ändert nichts an diesem Rentenbeginn, da sich der medizinische Endzustand prospektiv beurteilt (Entscheid des BGer vom 14. Dezember 2012, 8C_453/2012, E. 3.1) und überdies die formlose Terminierung der vorübergehenden Leis-</w:t>
      </w:r>
    </w:p>
    <w:p>
      <w:r>
        <w:t>Urteil des Verwaltungsgerichts des Kantons Bern vom 20. Okt. 2015, UV/14/663, Seite 20 tungen nach Ablauf der einjährigen Prüfungs- und Überlegungsfrist gleich- sam rechtsbeständig wurde (BGE 134 V 145). Die nach dem Fallabschlusses im Sinne von Art. 19 Abs. 1 UVG eingetre- tene Verschlechterung des Gesundheitszustandes mit der damit einherge- henden höheren Arbeitsunfähigkeit zwischen November 2010 und Sep- tember 2011 ist als Rückfall bzw. Spätfolge (vgl. Art. 11 der Verordnung vom 20. Dezember 1982 über die Unfallversicherung [UVV; SR 832.202]; BGE 118 V 293 E. 2c S. 296; RKUV 2003 U 487 S. 341 E. 2) zu qualifizie- ren und gibt nicht Anlass zur Rentenerhöhung. Eine Anpassung der Invali- denrente könnte erst nach Abschluss der (erneuten) Heilbehandlung vor- genommen werden (vgl. BGE 140 V 65 E. 4.2 S. 69 f.), welche hier per Ende September 2011 (dreimonatige Rekonvaleszenz nach dem Eingriff vom 1. Juli 2011 [act. IIB 295/75 Ziff. 5.8.1]) erfolgt sein dürfte; per dato bestand jedoch wiederum eine 20%ige Arbeitsunfähigkeit und auch ein gleicher Invaliditätsgrad wie vorher. Ob der Beschwerdeführer während dieser Zeit einen Anspruch auf ein Taggeld hat und gegebenenfalls in wel- cher Höhe (vgl. Art. 21 Abs. 3 Satz 2 UVG), liegt ausserhalb des Streitge- genstandes und ist deshalb hier nicht zu entscheiden. Die mit Verfügung vom 18. Oktober 2013 (act. IIC 322) zugesprochene und mit dem hier an- gefochtenen Einspracheentscheid vom 11. Juni 2014 (act. IIC 338) bestätigte Invalidenrente ist damit nicht zu beanstanden. Nachzugehen bleibt dem Anspruch auf eine Integritätsentschädigung.</w:t>
      </w:r>
    </w:p>
    <w:p>
      <w:r>
        <w:rPr>
          <w:b/>
        </w:rPr>
        <w:t>E. 6.1</w:t>
      </w:r>
    </w:p>
    <w:p>
      <w:r>
        <w:t>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w:t>
      </w:r>
    </w:p>
    <w:p>
      <w:r>
        <w:t>Urteil des Verwaltungsgerichts des Kantons Bern vom 20. Okt. 2015, UV/14/663, Seite 21</w:t>
      </w:r>
    </w:p>
    <w:p>
      <w:r>
        <w:rPr>
          <w:b/>
        </w:rPr>
        <w:t>E. 6.1.1</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Weiterentwick- lung der bundesrätlichen Skala weitere Bemessungsgrundlagen in tabella- rischer Form (sog. Feinraster; abrufbar unter &lt;www. suva.ch&gt;) erarbeitet. Diese Tabellen sind, soweit sie lediglich Richtwerte enthalten, mit denen die Gleichbehandlung aller Versicherten gewährleistet werden soll, mit dem Anhang 3 zur UVV vereinbar (BGE 124 V 29 E. 1c S. 32).</w:t>
      </w:r>
    </w:p>
    <w:p>
      <w:r>
        <w:rPr>
          <w:b/>
        </w:rPr>
        <w:t>E. 6.1.2</w:t>
      </w:r>
    </w:p>
    <w:p>
      <w:r>
        <w:t>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Psychogene Störungen nach Unfällen geben Anspruch auf Integritätsentschädigung, wenn medizinisch-psychiatrisch eine eindeutige individuelle Langzeitprognose gestellt werden kann, welche für das ganze Leben eine Änderung durch Heilung oder Besserung des Schadens praktisch ausschliesst. Für die Beurteilung der Dauerhaftigkeit psychogener Unfallfolgen ist an das Unfallereignis anzuknüpfen und von der Praxis auszugehen, wie sie für die Beurteilung der Adäquanz psychi- scher Unfallfolgen Geltung hat (BGE 124 V 29 E. 5b cc und E. 5c bb S. 44).</w:t>
      </w:r>
    </w:p>
    <w:p>
      <w:r>
        <w:rPr>
          <w:b/>
        </w:rPr>
        <w:t>E. 6.2</w:t>
      </w:r>
    </w:p>
    <w:p>
      <w:r>
        <w:t>Im beweiskräftigen Gutachten vom 5. Februar 2013 (act. IIB 295) wurde die dauerhafte und erhebliche Beeinträchtigung der körperlichen Integrität anhand der SUVA -Tabelle 7 (Integritätsschaden bei Wirbelsäule-</w:t>
      </w:r>
    </w:p>
    <w:p>
      <w:r>
        <w:t>Urteil des Verwaltungsgerichts des Kantons Bern vom 20. Okt. 2015, UV/14/663, Seite 22 naffektionen), unter Berücksichtigung des Status nach Spondylodese und Diskektomie mit persistierenden sensiblen Ausfällen und Dauerschmerzen auch nachts und in Ruhe, auf 40 % geschätzt (act. IIB 295/78 Ziff. 5.10). Dass sich die Verwaltung auf diese medizinische Beurteilung stützte, wird seitens des Beschwerdeführers nicht gerügt; indes vertritt er die Ansicht, dass im Zusammenhang mit dem diagnostizierten Tinnitus sowie den Er- kenntnissen der neuropsychologischen Untersuchung zusätzlich die SUVA -Tabelle 13 (Integritätsschaden bei Tinnitus) hätte berücksichtigt werden müssen (Beschwerde S. 7 Ziff. III Art. 6). Wie vorstehend ausgeführt (vgl. E. 3.4.3 bzw. 4.4 hievor) und auch von der Beschwerdegegnerin zutreffend dargelegt (act. IIC 338/12 E. 9 f.; Beschwerdeantwort S. 6 Ziff. V Ziff. 12.7 f.), fehlt es bezüglich der organisch nicht objektiv ausgewiesenen Beschwerden – worunter auch der subjektive Tinnitus fällt – an einer adäquaten Unfallkausalität. Es besteht somit von vornherein keine Grund- lage für eine diesbezügliche Integritätsentschädigung. Weil der Einspracheentscheid vom 11. Juni 2014 (act. IIC 338) auch in die- ser Hinsicht nicht zu beanstanden ist, erweist sich die dagegen erhobene Beschwerde als unbegründet und ist abzuweisen.</w:t>
      </w:r>
    </w:p>
    <w:p>
      <w:r>
        <w:rPr>
          <w:b/>
        </w:rPr>
        <w:t>E. 7.1</w:t>
      </w:r>
    </w:p>
    <w:p>
      <w:r>
        <w:t>In Anwendung von Art. 1 Abs. 1 UVG i.V.m. Art. 61 lit. a ATSG sind keine Verfahrenskosten zu erheben.</w:t>
      </w:r>
    </w:p>
    <w:p>
      <w:r>
        <w:rPr>
          <w:b/>
        </w:rPr>
        <w:t>E. 7.2</w:t>
      </w:r>
    </w:p>
    <w:p>
      <w:r>
        <w:t>Bei diesem Ausgang des Verfahrens ist dem Beschwerdeführer keine Parteientschädigung zuzusprechen (Art. 1 Abs. 1 UVG i.V.m. Art. 61 lit. g ATSG [Umkehrschluss]).</w:t>
      </w:r>
    </w:p>
    <w:p>
      <w:r>
        <w:t>Urteil des Verwaltungsgerichts des Kantons Bern vom 20. Okt. 2015, UV/14/663, Seite 23 Demnach entscheidet das Verwaltungsgericht: 1. Die Beschwerde wird abgewiesen. 2. Es werden weder Verfahrenskosten erhoben noch eine Parteientschä- digung zugesprochen. 3. Zu eröffnen (R): - B.________ AG z.H. des Beschwerdeführers - Rechtsanwalt D.________ z.H. der Beschwerdegegnerin - Bundesamt für Gesundheit mitzuteilen (R): - IV-Stelle Bern, Scheibenstrasse 70, Postfach, 3001 Bern (zur Kenntnisnahme ad IV/2014/547) - Stiftung …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