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471 vom 13. August 2014</w:t>
      </w:r>
    </w:p>
    <w:p>
      <w:r>
        <w:t>BE Verwaltungsgericht, 2014-08-13, DE</w:t>
      </w:r>
    </w:p>
    <w:p>
      <w:r>
        <w:rPr>
          <w:b/>
        </w:rPr>
        <w:t xml:space="preserve">Quelle: </w:t>
      </w:r>
      <w:r>
        <w:t>https://mcp.opencaselaw.ch/entscheid/be_verwaltungsgericht_200_2014_471</w:t>
      </w:r>
    </w:p>
    <w:p>
      <w:r>
        <w:t>FR: BE_VERWALTUNGSGERICHT 200 2014 471 du 13 août 2014</w:t>
      </w:r>
    </w:p>
    <w:p>
      <w:r>
        <w:t>IT: BE_VERWALTUNGSGERICHT 200 2014 471 del 13 agosto 2014</w:t>
      </w:r>
    </w:p>
    <w:p>
      <w:pPr>
        <w:pStyle w:val="Heading2"/>
      </w:pPr>
      <w:r>
        <w:t>Regeste</w:t>
      </w:r>
    </w:p>
    <w:p>
      <w:r>
        <w:t>Einspracheentscheid vom 7. Mai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 beitslosenversicherung und die Insolvenzentschädigung vom 25. Juni 1982 [AVIG; SR 837.0] i.V.m. Art. 128 Abs. 1 i.V.m Art. 119 Abs. 1 der Verord- nung über die obligatorische Arbeitslosenversicherung und die Insolven- zentschädigung vom 31. August 1983 [AVIV; SR 837.02]).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Anfechtungsobjekt bildet der Einspracheentscheid vom 7. Mai 2014 (AB 3 bis 5). Streitig und zu prüfen ist der Beginn der Rahmenfrist.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13. Aug. 2014, ALV/14/471, Seite 4</w:t>
      </w:r>
    </w:p>
    <w:p>
      <w:r>
        <w:rPr>
          <w:b/>
        </w:rPr>
        <w:t>E. 2.1</w:t>
      </w:r>
    </w:p>
    <w:p>
      <w:r>
        <w:t>Gemäss Art. 8 Abs. 1 AVIG hat die versicherte Person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w:t>
      </w:r>
    </w:p>
    <w:p>
      <w:r>
        <w:rPr>
          <w:b/>
        </w:rPr>
        <w:t>E. 2.2</w:t>
      </w:r>
    </w:p>
    <w:p>
      <w:r>
        <w:t>Gemäss Art. 9 AVIG gelten für den Leistungsbezug und für die Beitragszeit zweijährige Rahmenfristen, sofern das Gesetz nichts anderes vorsieht (Abs. 1). Die Rahmenfrist für den Leistungsbezug beginnt am ersten Tag, für den sämtliche Anspruchsvoraussetzungen erfüllt sind (Abs. 2).</w:t>
      </w:r>
    </w:p>
    <w:p>
      <w:r>
        <w:rPr>
          <w:b/>
        </w:rPr>
        <w:t>E. 2.3</w:t>
      </w:r>
    </w:p>
    <w:p>
      <w:r>
        <w:t>Nach Art. 17 Abs. 2 AVIG muss sich der Versicherte möglichst frühzeitig, spätestens jedoch am ersten Tag, für den er Arbeitslosenentschädigung beansprucht, persönlich bei seiner Wohngemeinde oder der vom Kanton bestimmten zuständigen Amtsstelle zur Arbeitsvermittlung melden und von da an die Kontrollvorschriften des Bundesrates befolgen.</w:t>
      </w:r>
    </w:p>
    <w:p>
      <w:r>
        <w:rPr>
          <w:b/>
        </w:rPr>
        <w:t>E. 2.4</w:t>
      </w:r>
    </w:p>
    <w:p>
      <w:r>
        <w:t>Ist die gesuchstellende Person oder ihre Vertretung unverschulde- terweise abgehalten worden, binnen Frist zu handeln, so wird diese wie- derhergestellt, sofern sie unter Angabe des Grundes innert 30 Tagen nach Wegfall des Hindernisses darum ersucht und die versäumte Rechtshand- lung nachholt (Art. 41 ATSG). Das Gesetz lässt die Wiederherstellung nur zu, wenn weder der Partei noch ihrem Vertreter für die Versäumnis ein Vorwurf gemacht werden kann (BGE 114 II 181 E. 2 S. 182).</w:t>
      </w:r>
    </w:p>
    <w:p>
      <w:r>
        <w:t>Urteil des Verwaltungsgerichts des Kantons Bern vom 13. Aug. 2014, ALV/14/471, Seite 5 Nach der höchstrichterlichen Rechtsprechung zu den Meldefristen werden Arbeitsüberlastung, Rechtsunkenntnis oder die mit der Einführung neuer gesetzlicher Regelungen verbundenen Unsicherheiten nicht als entschuld- bare Gründe für eine Fristversäumnis anerkannt. Dies gilt auch für die Fris- ten zur Geltendmachung eines Leistungsanspruchs (ARV 1988 S. 128 E. 4a).</w:t>
      </w:r>
    </w:p>
    <w:p>
      <w:r>
        <w:rPr>
          <w:b/>
        </w:rPr>
        <w:t>E. 3.1</w:t>
      </w:r>
    </w:p>
    <w:p>
      <w:r>
        <w:t>Die Rahmenfrist für den Leistungsbezug beginnt nach Art. 9 Abs. 2 AVIG am Tag, an dem alle Anspruchsvoraussetzungen gemäss Art. 8 AVIG erfüllt sind, wozu auch die formelle Voraussetzung der Anmeldung gehört (Art. 17 Abs. 2 AVIG; vgl. E. 2.1 bis 2.3 hiervor). Aufgrund der Akten steht fest und ist unbestritten, dass sich die Beschwerdeführerin am 14. Februar 2014 zur Arbeitsvermittlung angemeldet hat (AB 90 f.), so dass die Rahmenfrist von Gesetzes wegen (frühestens) an diesem Tag zu laufen beginnt.</w:t>
      </w:r>
    </w:p>
    <w:p>
      <w:r>
        <w:rPr>
          <w:b/>
        </w:rPr>
        <w:t>E. 3.2</w:t>
      </w:r>
    </w:p>
    <w:p>
      <w:r>
        <w:t>Die Beschwerdeführerin macht in der Beschwerde geltend, sie habe sich unverschuldeterweise zu spät zum Leistungsbezug angemeldet, wes- halb der Beginn der Rahmenfrist auf den 1. Februar 2014 festzusetzen sei. Es habe sich erst durch eine nachträgliche rechtliche Beurteilung betref- fend die Verlängerung der Kündigungsfrist wegen krankheitsbedingter Ar- beitsunfähigkeit herausgestellt, dass das letzte Arbeitsverhältnis mit der B.________ AG bereits am 31. Januar 2014 und nicht wie angenommen am 28. Februar 2014 geendet habe. Die B.________ AG habe die Be- schwerdeführerin erst mit Schreiben vom 11. Februar 2014 darüber infor- miert. Deshalb sei die Anmeldung - unverschuldeterweise - erst am 14. Fe- bruar 2014 erfolgt.</w:t>
      </w:r>
    </w:p>
    <w:p>
      <w:r>
        <w:rPr>
          <w:b/>
        </w:rPr>
        <w:t>E. 3.3</w:t>
      </w:r>
    </w:p>
    <w:p>
      <w:r>
        <w:t>Aus den Akten geht hervor, dass die B.________ AG mit Schreiben vom 31. Oktober 2013 (AB 76) das Arbeitsverhältnis auf den 31. Dezember 2013 gekündigt hat, wobei die Kündigung aufgrund der Krankheitsabsen- zen der Beschwerdeführerin vom 18. bis 22. November 2013 (5 Tage; AB 92) und vom 6. bis 26. Januar 2014 (3 Wochen; AB 107) erst auf den 31. Januar 2014 wirksam wurde (AB 89 und 94). Angesichts der am</w:t>
      </w:r>
    </w:p>
    <w:p>
      <w:r>
        <w:t>Urteil des Verwaltungsgerichts des Kantons Bern vom 13. Aug. 2014, ALV/14/471, Seite 6 31. Oktober 2013 (und damit vor der ersten Erkrankung am 18. November 2013) ausgesprochenen Kündigung wäre es der Beschwerdeführerin ohne weiteres möglich gewesen, sich rechtzeitig bei der Arbeitslosenversiche- rung zum Leistungsbezug anzumelden. Daran ändert auch die zweite Er- krankung vom 6. bis 26. Januar 2014 nichts. Vom Montag, dem 27. Januar 2014, bis zum Freitag, dem 31. Januar 2014, hätte die Beschwerdeführerin noch eine ganze Arbeitswoche Zeit gehabt, sich für den 1. Februar 2014 anzumelden. Dass sich die Beschwerdeführerin über die rechtliche Lage (vgl. E. 3.2 hiervor) nicht im Klaren gewesen sein soll, hilft ihr nicht. Vermag doch eine Rechtsunkenntnis die Meldefristversäumnis nicht zu rechtfertigen (vgl. E. 2.4 hiervor). So muss sich eine versicherte Person gemäss der ihr obliegenden Schadenminderungspflicht denn auch selbst ohne Meldung auf dem Arbeitsamt, d.h. bereits während der Kündigungsfrist, um einen neuen Arbeitsplatz bewerben (Entscheid des Bundesgerichts [BGer] vom</w:t>
      </w:r>
    </w:p>
    <w:p>
      <w:r>
        <w:rPr>
          <w:b/>
        </w:rPr>
        <w:t>E. 6</w:t>
      </w:r>
    </w:p>
    <w:p>
      <w:r>
        <w:t>Juni 2012, 8C_58/2012, E. 2). Die Beschwerdeführerin geht denn auch fehl in der Annahme, eine Anmeldung sei allein dazu da, sich die Taggeld- zahlungen der Arbeitslosenversicherung zu sichern. Vielmehr dient die Anmeldung auch dazu, den Betroffenen die Beratungsdienstleistungen der Arbeitslosenversicherung zur Verfügung zu stellen (vgl. Art. 7 Abs. 1 lit. a AVIG) sowie der Arbeitslosenversicherung die Möglichkeit zu geben, sich bzw. den Versicherten allfällige Ansprüche gegenüber Dritten, insbesonde- re den Arbeitgebern, zu sichern (vgl. Art. 29 AVIG). Zusammenfassend stellen die von der Beschwerdeführerin vorgebrachten Gründe für die verspätete Anmeldung keine unverschuldeten Hinderungs- gründe im Sinne von Art. 41 ATSG dar, welche eine Wiederherstellung der Frist rechtfertigen könnten. 4. Nach dem Dargelegten ist der angefochtene Einspracheentscheid vom</w:t>
      </w:r>
    </w:p>
    <w:p>
      <w:r>
        <w:rPr>
          <w:b/>
        </w:rPr>
        <w:t>E. 7</w:t>
      </w:r>
    </w:p>
    <w:p>
      <w:r>
        <w:t>Mai 2014 (AB 3 bis 5) nicht zu beanstanden. Die Beschwerde ist offen- sichtlich unbegründet und deshalb abzuweisen.</w:t>
      </w:r>
    </w:p>
    <w:p>
      <w:r>
        <w:t>Urteil des Verwaltungsgerichts des Kantons Bern vom 13. Aug. 2014, ALV/14/471, Seite 7 5. 5.1 Verfahrenskosten sind in Anwendung von Art. 1 Abs. 1 AVIG i.V.m. Art. 61 lit. a ATSG keine zu erheben. 5.2 Bei diesem Ausgang des Verfahrens besteht kein Anspruch auf eine Parteientschädigung (Umkehrschluss aus Art. 1 Abs. 1 AVIG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