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307 vom 24. März 2014</w:t>
      </w:r>
    </w:p>
    <w:p>
      <w:r>
        <w:t>BE Verwaltungsgericht, 2014-03-24, DE</w:t>
      </w:r>
    </w:p>
    <w:p>
      <w:r>
        <w:rPr>
          <w:b/>
        </w:rPr>
        <w:t xml:space="preserve">Quelle: </w:t>
      </w:r>
      <w:r>
        <w:t>https://mcp.opencaselaw.ch/entscheid/be_verwaltungsgericht_200_2014_307</w:t>
      </w:r>
    </w:p>
    <w:p>
      <w:r>
        <w:t>FR: BE_VERWALTUNGSGERICHT 200 2014 307 du 24 mars 2014</w:t>
      </w:r>
    </w:p>
    <w:p>
      <w:r>
        <w:t>IT: BE_VERWALTUNGSGERICHT 200 2014 307 del 24 marzo 2014</w:t>
      </w:r>
    </w:p>
    <w:p>
      <w:pPr>
        <w:pStyle w:val="Heading2"/>
      </w:pPr>
      <w:r>
        <w:t>Regeste</w:t>
      </w:r>
    </w:p>
    <w:p>
      <w:r>
        <w:t>Verfügung vom 24. März 2014 (172/01-507.808 UVG)</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Bei der angefochtenen Verfügung, welche die Anordnung einer medizini- schen Expertise zum Inhalt hat, handelt es sich, da sie das Administrativ- verfahren nicht abschliesst, um eine selbstständig eröffnete Zwischen- verfügung (Art. 55 Abs. 1 ATSG i.V.m. Art. 5 Abs. 2 und Art. 46 des Bun- desgesetzes über das Verwaltungsverfahren vom 20. Dezember 1968 [VwVG; SR 172.021]). Gegen eine solche kann direkt Beschwerde an das kantonale Versicherungsgericht erhoben werden (Art. 56 Abs. 1 ATSG, UELI KIESER, ATSG-Kommentar, 2. Aufl. 2009, Art. 49 N. 24 und Art. 56 N. 8). Zwischenverfügungen sind nur dann selbständig anfechtbar, wenn sie einen nicht wieder gutzumachenden Nachteil bewirken können. Im Kon- text der Gutachtensanordnung hat das Bundesgericht das Erfordernis des nicht wieder gutzumachenden Nachteils der versicherten Person für das erstinstanzliche Beschwerdeverfahren bejaht, womit die entsprechende Verfügung unter Erhebung aller gesetzlich vorgesehenen Rügen rechtlicher und tatsächlicher Natur angefochten werden kann (BGE 138 V 271 S. 275 E. 1.1 und 1.2.1 und S. 276 E. 1.2.3, 137 V 210 E. 3.4.2.7 S. 256). Die bundesgerichtlichen Korrektive zur Stärkung der Partizipationsrechte gelten – sofern nicht IV-spezifisch – auch im Verfahren der Unfallversicherung. Auch im Bereich der Unfallversicherung ist eine Begutachtung bei Uneinig- keit durch eine beim kantonalen Versicherungsgericht anfechtbare Zwi- schenverfügung anzuordnen und es stehen der versicherten Person vor- gängige Mitwirkungsrechte in dem Sinne zu, dass sie sich zu den Gutach- terfragen äussern kann. Die dabei zu beachtenden Modalitäten richten sich</w:t>
      </w:r>
    </w:p>
    <w:p>
      <w:r>
        <w:t>Urteil des Verwaltungsgerichts des Kantons Bern vom 4. Aug. 2014, UV/14/307, Seite 7 sinngemäss nach BGE 137 V 210 E. 3.4.2.9 S. 258 (BGE 138 V 318 E. 6.1.1 S. 322 und E. 6.1.4 S. 323).</w:t>
      </w:r>
    </w:p>
    <w:p>
      <w:r>
        <w:rPr>
          <w:b/>
        </w:rPr>
        <w:t>E. 1.1.2</w:t>
      </w:r>
    </w:p>
    <w:p>
      <w:r>
        <w:t>Die Beschwerdeführerin ist im vorinstanzlichen Verfahren mit ihren Anträgen nicht durchgedrungen, durch den angefochtenen Entscheid berührt und hat ein schutzwürdiges Interesse an dessen Aufhebung, wes- halb sie zur Beschwerde befugt ist (Art. 59 ATSG). Die örtliche Zuständig- keit ist gegeben (Art. 58 ATSG). Da auch die Bestimmungen über Frist (Art. 60 ATSG) sowie Form (Art. 61 lit. b ATSG; Art. 81 Abs. 1 i.V.m. Art. 32 des kantonalen Gesetzes über die Verwaltungsrechtspflege vom 23. Mai 1989 [VRPG; BSG 155.21]) eingehalten sind, ist – vorbehältlich der Ausführun- gen in E. 1.1.3 hiernach – auf die Beschwerde einzutreten.</w:t>
      </w:r>
    </w:p>
    <w:p>
      <w:r>
        <w:rPr>
          <w:b/>
        </w:rPr>
        <w:t>E. 1.1.3</w:t>
      </w:r>
    </w:p>
    <w:p>
      <w:r>
        <w:t>Soweit die Beschwerdeführerin den Antrag stellt, der vorliegenden Beschwerde sei die aufschiebende Wirkung zu erteilen und die Vorinstanz sei anzuweisen, den Begutachtungsauftrag an Prof. Dr. med. E.________ und Dr. med. F.________ vorläufig bis zum rechtskräftigen Entscheid in vorliegender Angelegenheit auszusetzen, ist auf die Beschwerde nicht ein- zutreten. Denn der vorliegend eingereichten Beschwerde kommt grundsätzlich aufschiebende Wirkung zu (vgl. Art. 54 ATSG sowie Art. 82 VRPG). Zudem hat die Beschwerdegegnerin in der angefochtenen Verfü- gung einer allfälligen Beschwerde die aufschiebende Wirkung nicht entzo- gen. Folglich fehlt es an einem Rechtsschutzinteresse der Beschwerdefüh- rerin an der Beurteilung des gestellten Antrags.</w:t>
      </w:r>
    </w:p>
    <w:p>
      <w:r>
        <w:rPr>
          <w:b/>
        </w:rPr>
        <w:t>E. 1.2</w:t>
      </w:r>
    </w:p>
    <w:p>
      <w:r>
        <w:t>Angefochten ist die Zwischenverfügung vom 24. März 2014 (act. I 1). Streitig und zu prüfen ist, ob im Zusammenhang mit der Anordnung der Begutachtung ein Einigungsverfahren durchzuführen ist bzw. ob die Be- schwerdeführerin Anspruch auf eine Begutachtung durch das C.________ hat.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Aug. 2014, UV/14/307, Seite 8</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w:t>
      </w:r>
    </w:p>
    <w:p>
      <w:r>
        <w:rPr>
          <w:b/>
        </w:rPr>
        <w:t>E. 2.2</w:t>
      </w:r>
    </w:p>
    <w:p>
      <w:r>
        <w:t>Die Verwaltung hat nach den Grundsätzen des Amtsbetriebs die Herrschaft über das Verfahren, so auch über die Abklärung der zur Ent- scheidung notwendigen Tatsachen (Entscheid des Bundesgerichts [BGer] vom 6. Dezember 2011; 9C_780/2011, E. 1.1.2 mit Hinweis auf BGE 136 V 376 E. 4.2.2. S. 380). Der Grundsatz des Amtsbetriebs bedeutet, dass der Sozialversicherungsträger einen Versicherungsfall hoheitlich bearbeitet (vgl. Art. 43 ATSG; Entscheid des BGer vom 29. September 2011, 8C_426/2011, E. 7.3); der Versicherungsträger leitet das Verfahren und führt es mit denjenigen Abklärungsschritten voran, die er für richtig und angezeigt hält (Entscheid des BGer vom 5. November 2008, 8C_744/2007, E. 2.2).</w:t>
      </w:r>
    </w:p>
    <w:p>
      <w:r>
        <w:rPr>
          <w:b/>
        </w:rPr>
        <w:t>E. 2.3</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2.4</w:t>
      </w:r>
    </w:p>
    <w:p>
      <w:r>
        <w:t>Ordnet die Verwaltung eine Begutachtung an, kann die versicherte Person materielle Einwendungen gegen eine Begutachtung an sich (etwa mit dem Einwand, es handle sich um eine unnötige second opinion), gegen Art oder Umfang der Begutachtung (beispielsweise betreffend die Auswahl</w:t>
      </w:r>
    </w:p>
    <w:p>
      <w:r>
        <w:t>Urteil des Verwaltungsgerichts des Kantons Bern vom 4. Aug. 2014, UV/14/307, Seite 9 der medizinischen Disziplinen) oder gegen bezeichnete Sachverständige (etwa betreffend deren Fachkompetenz) erheben. Weiter können formelle Ausstandsgründe gegen Gutachterpersonen geltend gemacht werden (BGE 138 V 271 E. 1.1 S. 274, 137 V 210 E. 3.4.2.7 S. 257).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w:t>
      </w:r>
    </w:p>
    <w:p>
      <w:r>
        <w:rPr>
          <w:b/>
        </w:rPr>
        <w:t>E. 2.5</w:t>
      </w:r>
    </w:p>
    <w:p>
      <w:r>
        <w:t>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2009 UV Nr. 32 S. 112 E. 4.2 und 4.3). Im Zusammenhang mit einer Begutachtung besteht kein Recht der versicherten Person auf einen Sachverständigen ihrer Wahl (BGE 132 V 93 E. 6.5 S. 109).</w:t>
      </w:r>
    </w:p>
    <w:p>
      <w:r>
        <w:rPr>
          <w:b/>
        </w:rPr>
        <w:t>E. 3.1</w:t>
      </w:r>
    </w:p>
    <w:p>
      <w:r>
        <w:t>Nachdem das Bundesgericht mit Entscheid vom 20. Februar 2009 (BGer 8C_544/2008; act. IIc Z 206) die Sache an die Beschwerdegegnerin zurückgewiesen hatte, insbesondere zwecks Vornahme einer umfassenden interdisziplinären Begutachtung, liess sich die Beschwerdegegnerin bei der Suche nach geeigneten Gutachterpersonen durch die Gutachten- Clearingstelle der SUVA unterstützen (act. IIc Z 224, Z 227 – 229). Dieses Vorgehen ist durch den in den Akten vorhandenen Mail-Verkehr zwischen der Gutachten-Clearingstelle der SUVA, Prof. Dr. med. E.________ und der Beschwerdegegnerin belegt (vgl. act. IIc Z 227 – 229). Damit kann diesbezüglich – entgegen der Auffassung der Beschwerdeführerin (vgl. Beschwerde S. 7 f.) – auf das Einholen weiterer Unterlagen verzichtet wer- den. Dass die Beschwerdegegnerin in der Folge eine Begutachtung in den</w:t>
      </w:r>
    </w:p>
    <w:p>
      <w:r>
        <w:t>Urteil des Verwaltungsgerichts des Kantons Bern vom 4. Aug. 2014, UV/14/307, Seite 10 beiden Fachdisziplinen Psychiatrie und Neurologie vorgesehen und ent- sprechend verfügt hat (act. I 1), wird von der Beschwerdeführerin nicht im Hinblick auf die gewählten Fachdisziplinen, sondern in Bezug auf die er- nannten Gutachter Prof. Dr. med. E.________ und Dr. med. F.________ bzw. die Nichteinsetzung des C.________ als Gutachterstelle beanstandet. Die Beschwerdeführerin bringt beschwerdeweise im Wesentlichen vor, die Beschwerdegegnerin habe kein Einigungsverfahren durchgeführt, dieser wichtige Verfahrensschritt sei ihr mit dem lapidaren Hinweis vorenthalten worden, sie habe keine Befangenheitsgründe gegen die eingesetzten Gut- achter vorgetragen (Beschwerde S. 5). Zudem sei der Anspruch auf rechtli- ches Gehör bzw. die Begründungspflicht verletzt, indem der angefochtenen Verfügung nicht zu entnehmen sei, weshalb das C.________ nicht erneut als Gutachterstelle geeignet sei (Beschwerde S. 6 f.).</w:t>
      </w:r>
    </w:p>
    <w:p>
      <w:r>
        <w:rPr>
          <w:b/>
        </w:rPr>
        <w:t>E. 3.2</w:t>
      </w:r>
    </w:p>
    <w:p>
      <w:r>
        <w:t>In verfahrensmässiger Hinsicht ist zu berücksichtigen, dass die Verwaltung auch im Zusammenhang mit der Anordnung einer Begutach- tung nach den Grundsätzen des Amtsbetriebs die Herrschaft über das Ver- fahren hat (vgl. E. 2.2 hiervor) und somit grundsätzlich die Gutachter fest- legen kann, dies jedoch unter Berücksichtigung der Mitwirkungsrechte der versicherten Person; diese hat allerdings kein Recht auf einen Gutachter ihrer Wahl (vgl. E. 2.5 hiervor). Vorliegend hat die Beschwerdegegnerin – wie in Art. 44 ATSG vorgesehen – der Beschwerdeführerin mit Schreiben vom 24. Februar 2014 (act. IIc Z 231) die Namen der Gutachter Prof. Dr. med. E.________ und Dr. med. F.________ mitgeteilt und Gelegenheit gegeben, Ablehnungsgründe vorzubringen. Gleichzeitig hat sie rechtspre- chungsgemäss (vgl. E. 1.1.1 hiervor) der Beschwerdeführerin die Gutach- terfragen zugestellt und ihr die Möglichkeit eingeräumt, Ergänzungsfragen zu stellen. In der Folge hat die Beschwerdeführerin weder mit Schreiben vom 5. März 2014 noch mit demjenigen vom 14. März 2014 (act. IIc Z 234, Z 237) Einwendung gegen die beiden vorgesehenen Gutachter vorge- bracht. Vielmehr hat sie die Durchführung eines Einigungsverfahrens sowie eine Begutachtung durch das C.________ bzw. eine Begründung für die Ablehnung dieses Begutachtungsinstituts verlangt; zusätzlich stellte sie Ergänzungsfragen, gegen welche die Beschwerdegegnerin nichts einzu- wenden hatte (vgl. act. IIc Z 235). In Bezug auf die Durchführung eines Einigungsverfahrens ist festzuhalten, dass ein konsensorientiertes Vorge-</w:t>
      </w:r>
    </w:p>
    <w:p>
      <w:r>
        <w:t>Urteil des Verwaltungsgerichts des Kantons Bern vom 4. Aug. 2014, UV/14/307, Seite 11 hen alleine dann angezeigt ist, wenn gegen die vorgesehenen Gutachter ein zulässiger Einwand formeller (fallbezogenes formelles Ablehnungsbe- gehren) oder materieller (fachbezogener) Natur vorgebracht wird (Ent- scheid des BGer vom 6. September 2013, 9C_560/2013, E. 2.3; vgl. auch E. 2.4 hiervor). Indem die Beschwerdeführerin vorliegend keine der zuläs- sigen Einwendungen erhoben hat, wurde durch die Beschwerdegegnerin zu Recht kein Einigungsverfahren durchgeführt. Daran ändert nichts, dass die Beschwerdeführerin darauf hinweist, dass die Vornahme der erneuten Begutachtung durch das C.________, welches sich bereits bei der Erstel- lung eines Gutachtens im Jahr 2007 (act. IIa Zm 45) mit dem vorliegenden Fall befasst habe, sinnvoll bzw. vorteilhaft wäre (vgl. Beschwerde S. 6). Denn der Umstand, dass das C.________ im vorliegenden Fall bereits ein Gutachten erstellt hat, führt nicht automatisch dazu, dass die von der Be- schwerdegegnerin vorgesehenen Gutachter für die Erstellung einer Exper- tise ungeeignet wären. Im Übrigen ist der damalige psychiatrische Gutach- ter, Dr. med. G.________, Facharzt für Psychiatrie und Psychotherapie, heute nicht mehr für das C.________ tätig (vgl. Beschwerdeantwort S. 2). Schliesslich bleibt zu erwähnen, dass der Versicherungsträger die Ernen- nung eines bestimmten Gutachters nicht näher begründen und zu Gegen- vorschlägen der versicherten Person nur dann eingehend Stellung nehmen muss, wenn gegen die vom Versicherungsträger bestimmten medizini- schen Sachverständigen zulässige bzw. berechtigte Einwendungen erho- ben wurden bzw. vorliegen (vgl. Entscheid des BGer vom 22. Februar 2008, U 553/06, E. 5.2), was hier – wie eben ausgeführt – nicht der Fall ist. Folglich hat die Beschwerdegegnerin entgegen der Auffassung der Be- schwerdeführerin beim Erlass der vorliegend angefochtenen Verfügung den Anspruch auf rechtliches Gehör bzw. die daraus fliessende Begrün- dungspflicht (BGE 136 I 229 E. 5.2 S. 236, 124 V 180 E. 1a S. 181) nicht verletzt, indem sie keine Ausführungen dazu gemacht hat, weshalb das C.________ nicht als Gutachterstelle bestimmt wurde. Damit kann auch offen bleiben, ob der damalige Gutachter des C.________ Dr. med. H.________, Praktischer Arzt FMH, auf die Beurteilung von Unfallfolgen oder Demenz spezialisiert ist (vgl. Beschwerdeantwort S. 2 sowie Schluss- bemerkungen der Beschwerdeführerin).</w:t>
      </w:r>
    </w:p>
    <w:p>
      <w:r>
        <w:t>Urteil des Verwaltungsgerichts des Kantons Bern vom 4. Aug. 2014, UV/14/307, Seite 12</w:t>
      </w:r>
    </w:p>
    <w:p>
      <w:r>
        <w:rPr>
          <w:b/>
        </w:rPr>
        <w:t>E. 3.3</w:t>
      </w:r>
    </w:p>
    <w:p>
      <w:r>
        <w:t>Nach dem Ausgeführten ist die Einsetzung von Prof. Dr. med. E.________ und Dr. med. F.________ zwecks interdisziplinärer Begutach- tung der Beschwerdeführerin in psychiatrischer und neurologischer Hinsicht nicht zu beanstanden. Die Beschwerde ist demnach abzuweisen, soweit darauf einzutreten ist.</w:t>
      </w:r>
    </w:p>
    <w:p>
      <w:r>
        <w:rPr>
          <w:b/>
        </w:rPr>
        <w:t>E. 3.4</w:t>
      </w:r>
    </w:p>
    <w:p>
      <w:r>
        <w:t>Es bleibt über den Antrag der Beschwerdegegnerin auf Ergänzung des Fragenkatalogs zu befinden (Beschwerdeantwort S. 2). Die beantragte Ergänzung gemäss dem „Beiblatt zum Fragenkatalog“ (act. II 1) steht im Zusammenhang mit der bei allen pathogenetisch-ätiologisch unklaren syn- dromalen Beschwerdebildern ohne nachweisbare organische Grundlage anwendbaren Überwindbarkeitspraxis (vgl. BGE 139 V 346 E. 2 S. 346, 137 V 64 E. 4.3 S. 69, 136 V 279 E. 3.2.3 S. 283). Da das Bundesgericht bezogen auf den vorliegenden Fall im Rückweisungsentscheid vom 20. Februar 2009, 8C_544/2008, E. 6.5 (act. IIc Z 206) explizit festgehalten hat, die Beschwerdegegnerin werde in Bezug auf die Ergebnisse des neu einzuholenden polydisziplinären Gutachtens untersuchen, inwieweit aus objektiver Sicht trotz medizinisch festgestellter gesundheitlicher Beeinträch- tigungen praxisgemäss eine gegebenenfalls überwindbare Erwerbsun- fähigkeit vorliege, ist gegen die beantragte Ergänzung des Fragenkatalogs nichts einzuwenden. Auch die Beschwerdeführerin hat mit den Schlussbe- merkungen vom 12. Juni 2014 (im Gerichtsdossier) keine diesbezüglichen Einwendungen erhoben oder selber weitere Ergänzungsfragen gestellt. Folglich ist in Gutheissung des diesbezüglichen beschwerdegegnerischen Antrags das „Beiblatt zum Fragenkatalog“ (act. II 1) gerichtlich zu genehmi- gen und der Fragenkatalog entsprechend zu ergänzen.</w:t>
      </w:r>
    </w:p>
    <w:p>
      <w:r>
        <w:rPr>
          <w:b/>
        </w:rPr>
        <w:t>E. 4</w:t>
      </w:r>
    </w:p>
    <w:p>
      <w:r>
        <w:t>Das Gesuch um unentgeltliche Rechtspflege unter Beiordnung von Rechtsanwalt B.________ als amtlicher Anwalt wird zufolge Rückzugs als erledigt vom Protokoll abgeschrieben.</w:t>
      </w:r>
    </w:p>
    <w:p>
      <w:r>
        <w:rPr>
          <w:b/>
        </w:rPr>
        <w:t>E. 4.1</w:t>
      </w:r>
    </w:p>
    <w:p>
      <w:r>
        <w:t>Verfahrenskosten sind keine zu erheben (Art. 1 Abs. 1 UVG i.V.m. Art. 61 lit. a ATSG).</w:t>
      </w:r>
    </w:p>
    <w:p>
      <w:r>
        <w:rPr>
          <w:b/>
        </w:rPr>
        <w:t>E. 4.2</w:t>
      </w:r>
    </w:p>
    <w:p>
      <w:r>
        <w:t>Bei diesem Ausgang des Verfahrens besteht kein Anspruch auf eine Parteientschädigung (Umkehrschluss aus Art. 1 Abs. 1 UVG i.V.m. Art. 61 lit. g ATSG).</w:t>
      </w:r>
    </w:p>
    <w:p>
      <w:r>
        <w:t>Urteil des Verwaltungsgerichts des Kantons Bern vom 4. Aug. 2014, UV/14/307, Seite 13</w:t>
      </w:r>
    </w:p>
    <w:p>
      <w:r>
        <w:rPr>
          <w:b/>
        </w:rPr>
        <w:t>E. 4.3</w:t>
      </w:r>
    </w:p>
    <w:p>
      <w:r>
        <w:t>Das mit Eingabe vom 8. April 2014 zurückgezogene Gesuch um unentgeltliche Rechtspflege unter Beiordnung von Rechtsanwalt B.________ ist als erledigt vom Protokoll abzuschreiben (Art. 39 VRPG). Demnach entscheidet der Einzelrichter: 1. Die Beschwerde wird abgewiesen, soweit darauf einzutreten ist. 2. In Gutheissung des diesbezüglichen beschwerdegegnerischen Antrags wird das „Beiblatt zum Fragenkatalog“ (act. II 1) gerichtlich genehmigt und der Fragenkatalog entsprechend ergänzt. 3. Es werden weder Verfahrenskosten erhoben noch eine Parteientschä- digung zugesprochen.</w:t>
      </w:r>
    </w:p>
    <w:p>
      <w:r>
        <w:rPr>
          <w:b/>
        </w:rPr>
        <w:t>E. 5</w:t>
      </w:r>
    </w:p>
    <w:p>
      <w:r>
        <w:t>Zu eröffnen (R): - Rechtsanwalt lic. iur. B.________ z.H. der Beschwerdeführerin - Zürich Versicherungsgesellschaft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