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176 vom 9. Oktober 2014</w:t>
      </w:r>
    </w:p>
    <w:p>
      <w:r>
        <w:t>BE Verwaltungsgericht, 2014-10-09, DE</w:t>
      </w:r>
    </w:p>
    <w:p>
      <w:r>
        <w:rPr>
          <w:b/>
        </w:rPr>
        <w:t xml:space="preserve">Quelle: </w:t>
      </w:r>
      <w:r>
        <w:t>https://mcp.opencaselaw.ch/entscheid/be_verwaltungsgericht_200_2014_176</w:t>
      </w:r>
    </w:p>
    <w:p>
      <w:r>
        <w:t>FR: BE_VERWALTUNGSGERICHT 200 2014 176 du 9 octobre 2014</w:t>
      </w:r>
    </w:p>
    <w:p>
      <w:r>
        <w:t>IT: BE_VERWALTUNGSGERICHT 200 2014 176 del 9 ottobre 2014</w:t>
      </w:r>
    </w:p>
    <w:p>
      <w:pPr>
        <w:pStyle w:val="Heading2"/>
      </w:pPr>
      <w:r>
        <w:t>Regeste</w:t>
      </w:r>
    </w:p>
    <w:p>
      <w:r>
        <w:t>Klage vom 19. Februar 2014</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19. Februar 2014 geltend gemachten Ansprüche (Art. 73 Abs. 1 Satz 1 des Bundesgesetzes über die berufliche Alters-, Hinterlassenen- und Invalidenvorsorge vom 25. Juni 1982 [BVG; SR 831.40] i.V.m. Art. 87 lit. c des kantonalen Gesetzes über die Verwaltungsrechtspflege vom 23. Mai 1989 [VRPG; BSG 155.21] und Art. 54 Abs. 1 lit. a des kantonalen Gesetzes über die Organisation der Gerichtsbehörden und der Staatsanwaltschaft vom 11. Juni 2009 [GSOG; BSG 161.1]). Die Beklagte hat Sitz in Bern, womit das angerufene Gericht zur Behandlung der Klage auch örtlich zuständig ist (Art. 73 Abs. 3 BVG). Auf die formgerechte (Art. 32 VRPG) Klage ist somit grundsätzlich einzutre- ten. Soweit beantragt wird, es sei festzustellen, dass der Kläger berechtigt ge- wesen sei, am 23. Dezember 2013 eine Einkaufsleistung von Fr. 40'000.-- zu erbringen, ist festzuhalten, dass ein Rechtsschutzinteresse bei einem Feststellungsbegehren namentlich dann fehlt, wenn das Rechtsschutzin- teresse der klagenden Partei durch ein rechtsgestaltendes Urteil gewahrt werden kann (BGE 128 V 41 E. 3a S. 48). Dies ist vorliegend der Fall,</w:t>
      </w:r>
    </w:p>
    <w:p>
      <w:r>
        <w:t>Urteil des Verwaltungsgerichts des Kantons Bern vom 9. Okt. 2014, BV/14/176, Seite 4 weshalb das Feststellungsbegehren unzulässig bzw. darauf nicht einzutre- ten ist.</w:t>
      </w:r>
    </w:p>
    <w:p>
      <w:r>
        <w:rPr>
          <w:b/>
        </w:rPr>
        <w:t>E. 1.2</w:t>
      </w:r>
    </w:p>
    <w:p>
      <w:r>
        <w:t>Streitig und zu prüfen ist, ob der Kläger bei der Beklagten ab dem 65. Altersjahr weiterhin freiwillige Einkäufe tätigen kann und dabei insbe- sondere, ob die Beklagte die beantragte Einmaleinzahlung in der Höhe von Fr. 40'000.-- anzunehmen und dem Alterskapital des Klägers anzurechnen hat.</w:t>
      </w:r>
    </w:p>
    <w:p>
      <w:r>
        <w:rPr>
          <w:b/>
        </w:rPr>
        <w:t>E. 1.3</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w:t>
      </w:r>
    </w:p>
    <w:p>
      <w:r>
        <w:rPr>
          <w:b/>
        </w:rPr>
        <w:t>E. 1.4</w:t>
      </w:r>
    </w:p>
    <w:p>
      <w:r>
        <w:t>Die Abteilungen urteilen gewöhnlich in einer Kammer bestehend aus drei Richterinnen oder Richtern (Art. 56 Abs. 1 GSOG).</w:t>
      </w:r>
    </w:p>
    <w:p>
      <w:r>
        <w:rPr>
          <w:b/>
        </w:rPr>
        <w:t>E. 2.1</w:t>
      </w:r>
    </w:p>
    <w:p>
      <w:r>
        <w:t>Das BVG stellt im Gegensatz zu anderen Sozialversicherungsge- setzen lediglich ein Rahmengesetz dar, das vorwiegend Mindestvorschrif- ten enthält. Art. 6 BVG weist ausdrücklich darauf hin, dass der zentrale zweite Teil dieses Gesetzes über die Versicherung (Art. 7 - 47 BVG) ledig- lich Minimalvorschriften enthält. Die Vorsorgeeinrichtungen können daher in ihren reglementarischen Bestimmungen auch weitergehende Leistungen vorsehen. Von Bedeutung ist dies insbesondere im Umstand, dass die meisten Versicherungen nebst dem Obligatorium, d.h. der Versicherung des koordinierten Lohnes, ein Überobligatorium kennen (vgl. MAURER/- SCARTAZZINI/HÜRZELER, Bundessozialversicherungsrecht, 3. Aufl. 2009, S. 211 N. 2). In der Gestaltung des Überobligatoriums sind die Versiche- rungsträger selbständig und frei (Art. 49 Abs. 1 BVG).</w:t>
      </w:r>
    </w:p>
    <w:p>
      <w:r>
        <w:t>Urteil des Verwaltungsgerichts des Kantons Bern vom 9. Okt. 2014, BV/14/176, Seite 5</w:t>
      </w:r>
    </w:p>
    <w:p>
      <w:r>
        <w:rPr>
          <w:b/>
        </w:rPr>
        <w:t>E. 2.2</w:t>
      </w:r>
    </w:p>
    <w:p>
      <w:r>
        <w:t>Laut dem Vorsorgereglement für die Angestellten und die Renten- beziehenden des Vorsorgewerks Bund vom 15. Juni 2007 (VRAB, SR 172.220.141.1) ist ein Einkauf innerhalb der vom BVG festgelegten Grenzen gemäss Anhang 2 möglich. Massgebend sind das Alter und der Verdienst im Zeitpunkt des Einkaufs (Art. 32 Abs. 1 VRAB).</w:t>
      </w:r>
    </w:p>
    <w:p>
      <w:r>
        <w:rPr>
          <w:b/>
        </w:rPr>
        <w:t>E. 3.1</w:t>
      </w:r>
    </w:p>
    <w:p>
      <w:r>
        <w:t>Gemäss Art. 9 Abs. 2 des Bundesgesetzes über die Freizügigkeit in der beruflichen Alters-, Hinterlassenen- und Invalidenvorsorge vom 17. De- zember 1993 (FZG, SR 831.42) besteht von Gesetzes wegen nur bei Ein- tritt in eine Vorsorgeeinrichtung das Recht auf Einkauf in die vollen regle- mentarischen Leistungen. Jeder weitere Einkauf geht demnach über das gesetzlich geforderte Minimum hinaus und ist Teil der überobligatorischen Vorsorge (vgl. E. 2.1 hiervor). Die Frage, ob ab dem 65. Altersjahr noch freiwillige Einkäufe getätigt werden können, beschlägt somit das Überobli- gatorium. Des Weiteren ist – entgegen der Auffassung des Klägers (Klage S. 3) – festzuhalten, dass die Beklagte gestützt auf Art. 49 Abs. 1 BVG grundsätzlich frei in der Gestaltung dieser Einmaleinzahlungen ist (E. 2.1 hiervor) und einzig das in Art. 79b Abs. 1 BVG statuierte quantitative Leis- tungsmaximum zu beachten hat (Art. 49 Abs. 2 Ziff. 24 BVG; vgl. MAU- RER/SCARTAZZINI/HÜRZELER, a.a.O., S. 266 N. 124). Demnach war und ist die Beklagte resp. das paritätische Organ des Vorsorgewerks Bund (POB) grundsätzlich legitimiert, eine Altersgrenze für den letztmöglichen Zeitpunkt eines Einkaufs zu bestimmen.</w:t>
      </w:r>
    </w:p>
    <w:p>
      <w:r>
        <w:rPr>
          <w:b/>
        </w:rPr>
        <w:t>E. 3.2</w:t>
      </w:r>
    </w:p>
    <w:p>
      <w:r>
        <w:t>Das Vorsorgereglement der Beklagten normiert in Art. 32 VRAB den Einkauf und bestimmt u.a., dass für diese Leistungen das Alter und der versicherte Verdienst im Zeitpunkt des Einkaufs massgebend sind. Zur Berechnung der maximalen Einkaufshöhe wird in Anhang 2 des VRAB so- dann detailliert und übersichtlich das maximale Altersguthaben resp. das maximale Sondersparguthaben in Prozent des versicherten Verdienstes je Alter und Vorsorgeplan definiert. Des Weiteren wird statuiert, ein Einkauf sei bis zur Vollendung des 65. Altersjahres möglich.</w:t>
      </w:r>
    </w:p>
    <w:p>
      <w:r>
        <w:t>Urteil des Verwaltungsgerichts des Kantons Bern vom 9. Okt. 2014, BV/14/176, Seite 6 Daraus folgt im Umkehrschluss, dass ein Einkauf ab dem 65. Altersjahr nicht mehr zulässig ist. Anhaltspunkte, welche eine andere Betrachtungs- weise rechtfertigen könnten, liegen nicht vor, zumal die bestimmte Alters- grenze auch aus Art. 32 Abs. 3 VRAB ersichtlich ist. Wie die Beklagte zu- dem ausführlich und zutreffend dargelegt hat (Klageantwort S. 5), ändert hieran auch der am 1. Januar 2011 in Kraft getretene Art. 18b VRAB, wo- nach die Altersvorsorge verlängert werden kann, wenn das Arbeitsverhält- nis nach dem vollendeten 65. Altersjahr fortgesetzt wird, nichts. So wurde eine entsprechende Regelung betreffend den Einkauf, wie dem Protokoll der Sitzung vom 8. September 2010 des POB zu entnehmen ist (Klageant- wortbeilage [act. II] 1), bewusst (noch) nicht statuiert. Gestützt auf diese klare Sachlage bleibt für den Einwand des Klägers, die statuierte Alters- grenze sei nur als Hinweis darauf zu verstehen, dass über den Zeitpunkt der Pensionierung ein Einkauf versicherungstechnisch nicht mehr möglich sei, weil aus dem Alterskapital in diesem Moment eine Rente gebildet wer- de (Art. 14 Abs. 1 BVG), kein Raum (Klage S. 3).</w:t>
      </w:r>
    </w:p>
    <w:p>
      <w:r>
        <w:rPr>
          <w:b/>
        </w:rPr>
        <w:t>E. 3.3</w:t>
      </w:r>
    </w:p>
    <w:p>
      <w:r>
        <w:t>Soweit der Kläger eine Verletzung des verfassungsmässigen Ge- bots der Gleichbehandlung (Art. 8 Abs. 1 der Bundesverfassung (BV; SR 101]) vorbringt (Klage S. 4), ist ihm entgegen zu halten, dass Art. 32 VRAB sowie der Anhang 2 auf alle bei der Beklagten im Vorsorgewerk Bund versicherten Personen zur Anwendung gelangt. Eine Ungleichbe- handlung, wie sie vom Kläger geltend gemacht wurde, ist somit nicht aus- gewiesen (vgl. auch MAURER/SCARTAZZINI/HÜRZELER, a.a.O., S. 213 N. 4, S. 214 N. 7). Darauf, dass ein Einkauf nach Vollendung des 65. Altersjah- res die überobligatorische Vorsorge betrifft und die Beklagte diesbezüglich – unter Berücksichtigung von Art. 49 Abs. 2 BVG – grundsätzlich in der Gestaltung selbständig und frei ist, wurde bereits hingewiesen (vgl. E. 2.1 und 3.1 hiervor). Solange die Beklagte somit innerhalb der vom BVG fest- gelegten Grenzen handelt, hat das Sozialversicherungsgericht in diesen Handlungsspielraum nicht einzugreifen. Schliesslich kann auch dem Vorbringen, die Beklagte habe mit der Weige- rung, die Einkaufsleistung anzunehmen, das mit dem anfangs 2013 zuge- stellten Versicherungsausweis geschaffene Vertrauen verletzt (Klage S. 4), nicht gefolgt werden. Wurde doch im persönlichen Ausweis per 1. Januar</w:t>
      </w:r>
    </w:p>
    <w:p>
      <w:r>
        <w:t>Urteil des Verwaltungsgerichts des Kantons Bern vom 9. Okt. 2014, BV/14/176, Seite 7 2013 (act. IIA 14) die maximal mögliche Einkaufsumme explizit unter Vor- behalt gewisser gesetzlicher Restriktionen genannt und die voraussichtli- che Altersrente mit dem Alter von 65 berechnet. Anhaltspunkte, welche auf die Möglichkeit von Einkäufen nach dem 65. Altersjahr hinweisen würden, können dem persönlichen Ausweis per 1. Januar 2013 nicht entnommen werden. Vielmehr ist darauf hinzuweisen, dass das VRAB Bestandteil der Vertragsbeziehung zwischen dem Kläger und der Beklagten ist und davon ausgegangen werden darf, dass dem Kläger die Bestimmungen des VRAB und damit die Beschränkung der freiwilligen Einkäufe bis zur Vollendung des 65. Altersjahres bekannt waren. Die vom Kläger behauptete Vertrau- ensgrundlage ist damit nicht gegeben. Aus dem Dargelegten folgt, dass die Klage vom 19. Februar 2014 unbegründet und abzuweisen ist.</w:t>
      </w:r>
    </w:p>
    <w:p>
      <w:r>
        <w:rPr>
          <w:b/>
        </w:rPr>
        <w:t>E. 4.1</w:t>
      </w:r>
    </w:p>
    <w:p>
      <w:r>
        <w:t>Verfahrenskosten sind in Anwendung von Art. 73 Abs. 2 BVG keine zu erheben.</w:t>
      </w:r>
    </w:p>
    <w:p>
      <w:r>
        <w:rPr>
          <w:b/>
        </w:rPr>
        <w:t>E. 4.2</w:t>
      </w:r>
    </w:p>
    <w:p>
      <w:r>
        <w:t>Bei diesem Ausgang des Verfahrens hat der Kläger keinen An- spruch auf eine Parteientschädigung (Art. 109 Abs. 1 VRPG [Umkehr- schluss]). Die obsiegende Beklagte hat als Sozialversicherungsträgerin ebenfalls keinen Anspruch auf eine Parteientschädigung (BGE 126 V 143 E. 4b S. 150).</w:t>
      </w:r>
    </w:p>
    <w:p>
      <w:r>
        <w:t>Urteil des Verwaltungsgerichts des Kantons Bern vom 9. Okt. 2014, BV/14/176, Seite 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