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147 vom 10. Januar 2014</w:t>
      </w:r>
    </w:p>
    <w:p>
      <w:r>
        <w:t>BE Verwaltungsgericht, 2014-01-10, DE</w:t>
      </w:r>
    </w:p>
    <w:p>
      <w:r>
        <w:rPr>
          <w:b/>
        </w:rPr>
        <w:t xml:space="preserve">Quelle: </w:t>
      </w:r>
      <w:r>
        <w:t>https://mcp.opencaselaw.ch/entscheid/be_verwaltungsgericht_200_2014_147</w:t>
      </w:r>
    </w:p>
    <w:p>
      <w:r>
        <w:t>FR: BE_VERWALTUNGSGERICHT 200 2014 147 du 10 janvier 2014</w:t>
      </w:r>
    </w:p>
    <w:p>
      <w:r>
        <w:t>IT: BE_VERWALTUNGSGERICHT 200 2014 147 del 10 gennaio 2014</w:t>
      </w:r>
    </w:p>
    <w:p>
      <w:pPr>
        <w:pStyle w:val="Heading2"/>
      </w:pPr>
      <w:r>
        <w:t>Regeste</w:t>
      </w:r>
    </w:p>
    <w:p>
      <w:r>
        <w:t>Verfügung vom 10. Januar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Bei der Anordnung des Gutachtens handelt es sich um eine Zwischenver- fügung (Art. 55 Abs. 1 ATSG i.V.m. Art. 5 Abs. 2 und Art. 46 des Bundes- gesetzes über das Verwaltungsverfahren vom 20. Dezember 1968 ([VwVG; SR 172.021]); solche können unter anderem dann angefochten werden, wenn sie einen nicht wieder gutzumachenden Nachteil bewirken können (BGE 132 V 93 E. 6.1 S. 106). Diese Anfechtbarkeitsvoraussetzung ist für das erstinstanzliche Beschwerdeverfahren in IV-Angelegenheiten zu beja- hen, womit die entsprechende Verfügung unter Erhebung aller gesetzlich vorgesehenen Rügen rechtlicher und tatsächlicher Natur angefochten wer-</w:t>
      </w:r>
    </w:p>
    <w:p>
      <w:r>
        <w:t>Urteil des Verwaltungsgerichts des Kantons Bern vom 24. April 2014, IV/14/147, Seite 4 den kann (BGE 138 V 271 S. 275 E. 1.1 und 1.2.1 sowie S. 276 E. 1.2.3, 137 V 210 E. 3.4.2.7 S. 256).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Zwischenverfügung vom 10. Januar 2014 (act. IIB 272). Streitig und zu prüfen ist die Rechtmässigkeit der An- ordnung einer Begutachtung durch Dr. med. E.________.</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Die Beschwerdegegnerin hat zu Recht direkt – ohne Durchführung eines Vorbescheidverfahrens – verfügt, denn hier geht es um eine Zwischenver- fügung und nicht um einen Endentscheid (vgl. Art. 57a Abs. 1 IVG).</w:t>
      </w:r>
    </w:p>
    <w:p>
      <w:r>
        <w:t>Urteil des Verwaltungsgerichts des Kantons Bern vom 24. April 2014, IV/14/147, Seite 5</w:t>
      </w:r>
    </w:p>
    <w:p>
      <w:r>
        <w:rPr>
          <w:b/>
        </w:rPr>
        <w:t>E. 3.1</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rPr>
          <w:b/>
        </w:rPr>
        <w:t>E. 3.2</w:t>
      </w:r>
    </w:p>
    <w:p>
      <w:r>
        <w:t>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 ziplinären Expertisen die von ihr ausgewählten Gutachter) und die Namen der Sachverständigen mit jeweiligem Facharzttitel mit. Mit der Bezeichnung der Sachverständigen kommt die Möglichkeit (materieller oder formeller) personenbezogener Einwendungen hinzu (BGE 139 V 349 E. 5.2.2.2 S. 355, 138 V 271 E. 1.1 S. 274, 137 V 210 E. 3.4.2.7 S. 257). 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(BGE 139 V 349 E. 5.2.2.3 S. 356). Ein Mitwirkungsrecht im Sinne eines Wahlrechts bei der Bestimmung des Gutachters lässt sich weder aus dem Anspruch auf rechtliches Gehör noch aus der „Nähe“ des Einspracheverfahrens zur streitigen Verwaltungs- rechtspflege ableiten (RKUV 1998 U 309 S. 460 E. 4b).</w:t>
      </w:r>
    </w:p>
    <w:p>
      <w:r>
        <w:t>Urteil des Verwaltungsgerichts des Kantons Bern vom 24. April 2014, IV/14/147, Seite 6</w:t>
      </w:r>
    </w:p>
    <w:p>
      <w:r>
        <w:rPr>
          <w:b/>
        </w:rPr>
        <w:t>E. 3.3</w:t>
      </w:r>
    </w:p>
    <w:p>
      <w:r>
        <w:t>Für Sachverständige gelten grundsätzlich die gleichen Ausstands- und Ablehnungsgründe, wie sie für Richterinnen und Richter vorgesehen sind. Befangenheit ist demnach anzunehmen, wenn Umstände vorliegen, die geeignet sind, Misstrauen in die Unparteilichkeit zu erwecken (BGE 132 V 93 E. 7.1 S. 109; SVR 2009 UV Nr. 32 S. 112 E. 4.2 und 4.3). Der Um- stand, dass sich ein Sachverständiger schon einmal mit einer Person be- fasst hat, schliesst später dessen Beizug als Gutachter nicht zum Vornher- ein aus. Eine unzulässige Vorbefassung liegt auch dann nicht vor, wenn er zu (für eine Partei) ungünstigen Schlussfolgerungen gelangt. Anderes gilt, wenn Umstände vorliegen, die den Anschein der Befangenheit und die Ge- fahr der Voreingenommenheit objektiv zu begründen vermögen, etwa wenn die sachverständige Person ihren Bericht nicht neutral und sachlich abfass- te (BGE 132 V 93 E. 7.2.2 S. 110). Voreingenommenheit trotz Vorbefas- sung ist zu verneinen, wenn das Ergebnis der Begutachtung nach wie vor als offen und nicht vorbestimmt erscheint. Dies ist beispielsweise der Fall, wenn der Experte andere Fragen zu beantworten oder sein erstes Gutach- ten lediglich zu erläutern oder zu ergänzen hat, nicht aber, wenn er die Schlüssigkeit seiner früheren Expertise zu überprüfen hat (SVR 2013 IV Nr. 30 S. 90 E. 5.3.2). Nach gefestigter Rechtsprechung führen der regelmässige Beizug eines Gutachters oder einer Begutachtungsinstitution durch den Versicherungs- träger, die Anzahl der beim selben Arzt in Auftrag gegebenen Gutachten und Berichte sowie das daraus resultierende Honorarvolumen für sich al- lein genommen nicht zum Ausstand (BGE 137 V 210 E. 1.3.3 S. 227; SVR 2009 UV Nr. 32 S. 113 E. 6.2). Entscheidend ist, dass fachlich-inhaltlich eine Weisungsunabhängigkeit der begutachtenden Ärzte besteht (Ent- scheid des BGer vom 20. Juni 2007, I 885/06, E. 5.1).</w:t>
      </w:r>
    </w:p>
    <w:p>
      <w:r>
        <w:rPr>
          <w:b/>
        </w:rPr>
        <w:t>E. 4.1</w:t>
      </w:r>
    </w:p>
    <w:p>
      <w:r>
        <w:t>Die Beschwerdeführerin bestreitet zunächst die Notwendigkeit der Begutachtung (Beschwerde, S. 3 Ziff. 6). Dieser Ansicht kann nicht gefolgt werden.</w:t>
      </w:r>
    </w:p>
    <w:p>
      <w:r>
        <w:t>Urteil des Verwaltungsgerichts des Kantons Bern vom 24. April 2014, IV/14/147, Seite 7</w:t>
      </w:r>
    </w:p>
    <w:p>
      <w:r>
        <w:rPr>
          <w:b/>
        </w:rPr>
        <w:t>E. 4.1.1</w:t>
      </w:r>
    </w:p>
    <w:p>
      <w:r>
        <w:t>Die letzte Begutachtung datiert aus dem Jahre 2010 (act. IIA 225). Mit Einfluss auf die Arbeitsfähigkeit stellten die Experten im Gutachten vom 19. Oktober 2010 folgende – allein psychiatrische – Diagnosen: eine rezidi- vierende depressive Störung, gegenwärtig leichte Episode (ICD-10: F33.0), eine Agoraphobie (ICD-10: F40.0) und eine anhaltende somatoforme Schmerzstörung (ICD-10: F45.4; act. II A 225/23). Die Beschwerdeführerin wurde aus psychiatrischer Sicht als zu 30% vermindert arbeitsunfähig beur- teilt (act. IIA 225/17); aus somatisch-neurologischer Sicht konnten keine Diagnosen gestellt werden, welche einen Einfluss auf die Arbeitsfähigkeit haben (act. IIA 225/22). Mit unwidersprochen gebliebener Mitteilung vom 21. Januar 2011 wurde gestützt auf das Gutachten vom 19. Oktober 2010 entschieden, dass bei der Überprüfung des Invaliditätsgrads keine Ände- rung festgestellt werden konnte und die Beschwerdeführerin weiterhin An- spruch auf die bisherige Viertelsrente aufgrund eines Invaliditätsgrads von 40% habe (act. IIB 238).</w:t>
      </w:r>
    </w:p>
    <w:p>
      <w:r>
        <w:rPr>
          <w:b/>
        </w:rPr>
        <w:t>E. 4.1.2</w:t>
      </w:r>
    </w:p>
    <w:p>
      <w:r>
        <w:t>Mit Gesuch vom 15. April 2013 beantragt die Beschwerdeführerin eine Rentenerhöhung (Act. IIB 256/1 f.), wobei sie auf den Bericht der Kli- nik C.________ vom 7. Oktober 2011 verweist (act. IIB 256/3 ff.). Darin diagnostizieren die behandelnden Ärzte im Wesentlichen eine generalisier- te Angststörung (ICD-10: F41.1) und eine rezidivierende depressive Störung, gegenwärtig mittelgradig depressive Episode (ICD-10: F33.11). Weiter berichtet Dr. med. F.________, Facharzt für Psychiatrie und Psy- chotherapie FMH, am 19. August 2013 (act. IIB 262) über eine mittelgradi- ge depressive Episode im Rahmen einer bipolaren Störung (ICD-10: F31.81), während die psychiatrischen Dienste G.________ im Bericht vom 10. Oktober 2013 eine rezidivierende depressive Störung, gegenwärtig schwere depressive Episode (ICD-10: F33.2), rapportieren (act. IIB 265). Gestützt auf diese Aktenlage, wonach sich die depressive Episode seit 2011 verschlimmert haben kann, und dem Umstand, dass die Beschwerde- führerin von sich aus mit Schreiben vom 15. April 2013 eine Rentener- höhung aufgrund psychischer Diagnosen geltend machen lässt (act. IIB 256), ist die Durchführung einer Begutachtung nicht zu beanstanden. Unter Berücksichtigung der im Bericht des RAD vom 5. Dezember 2013 erwähn- ten offenen Fragen und weiteren Problemkreise (act. IIB 267/4) ist die vor- gesehene psychiatrische Begutachtung erst recht angezeigt. Schliesslich</w:t>
      </w:r>
    </w:p>
    <w:p>
      <w:r>
        <w:t>Urteil des Verwaltungsgerichts des Kantons Bern vom 24. April 2014, IV/14/147, Seite 8 weist denn auch die Beschwerdegegnerin in ihrer Beschwerdeantwort (S. 2) zu Recht darauf hin, dass grundsätzlich bis zum Abschluss des Verwal- tungsverfahrens die Verfahrenshoheit bei ihr liegt und ihr deshalb im Rah- men der Verfahrensleitung ein grosser Ermessensspielraum bezüglich Notwendigkeit, Umfang und Zweckmässigkeit medizinischer Erhebungen zukommt (Urteil des Bundesgerichts vom 16. Oktober 2012, 8C_396/2012, E. 4.1). Die in der Beschwerde (S. 3 Ziff. 6) erwähnten Gründe, die angeb- lich gegen die Expertise sprechen, sind im Übrigen nicht nachvollziehbar.</w:t>
      </w:r>
    </w:p>
    <w:p>
      <w:r>
        <w:rPr>
          <w:b/>
        </w:rPr>
        <w:t>E. 4.2</w:t>
      </w:r>
    </w:p>
    <w:p>
      <w:r>
        <w:t>Da sowohl die ursprüngliche Rentenzusprache (act. II 57), wie auch deren revisionsweise Bestätigung (act. IIB 238) aufgrund psychischer Ein- schränkungen erfolgte und die wegen der beantragten Rentenerhöhung eingeholten und eingegangenen medizinischen Berichte lediglich psychi- sche Einschränkungen erwähnen (E. 4.1.2 hiervor), ist zu Recht allein eine psychiatrische Abklärung angeordnet worden.</w:t>
      </w:r>
    </w:p>
    <w:p>
      <w:r>
        <w:rPr>
          <w:b/>
        </w:rPr>
        <w:t>E. 4.3</w:t>
      </w:r>
    </w:p>
    <w:p>
      <w:r>
        <w:t>Die Beschwerdeführerin beanstandet, dass das Gutachten bei Dr. med. E.________ durchgeführt werden soll. Diesbezüglich bringt sie vor, der vorgesehene Gutachter sei „keinesfalls unabhängig und … neutral“, da er „mehrfach durch eine äusserst einseitige und fachlich inkompetente Be- gutachtung aufgefallen“ sei (Beschwerde S. 4 Ziff. 8). Diese Einwände werden weder substanziert, noch vermögen sie eine Be- fangenheit im Sinne gesetzlicher Ausstands- und Ablehnungsgründe zu begründen oder Zweifel an der Unabhängigkeit des Gutachters zu wecken. Auch würde gemäss bundesgerichtlicher Rechtsprechung (Urteil vom 28. Juli 2009, 8C_418/2009, E. 3.3) fehlende Sachkunde eines Gutachters keinen besonderen Umstand begründen, der Misstrauen in die Unpartei- lichkeit des Sachverständigen wecken würde. Weiter entspricht eine häufi- ge Gutachtertätigkeit für eine Sozialversicherung und die damit einherge- hende medizinische Erfahrung des Experten an sich bereits einer Qua- litätssicherung (Urteil des Bundesgerichts vom 29. September 2011, 8C_426/2011, E. 7.5). Da Dr. med. E.________ zudem bereits am Vorgut- achten (act. IIA 225/26) beteiligt war, ist er überdies für die Verlaufsbegut- achtung geradezu prädestiniert.</w:t>
      </w:r>
    </w:p>
    <w:p>
      <w:r>
        <w:t>Urteil des Verwaltungsgerichts des Kantons Bern vom 24. April 2014, IV/14/147, Seite 9</w:t>
      </w:r>
    </w:p>
    <w:p>
      <w:r>
        <w:rPr>
          <w:b/>
        </w:rPr>
        <w:t>E. 4.4</w:t>
      </w:r>
    </w:p>
    <w:p>
      <w:r>
        <w:t>Weiter rügt die Beschwerdeführerin, es sei kein Einigungsverfahren durchgeführt worden. Zudem müsse, falls eine Begutachtung wirklich not- wendig erscheine, diese mit ihrer Zustimmung durchgeführt werden (Be- schwerde S. 3 f. Ziff. 7 und 9). Es trifft nicht zu, dass die Beschwerdegegnerin ohne vorheriges Einigungs- verfahren direkt die Begutachtung angeordnet hat. Freilich hat sie in Über- einstimmung mit Ziff. 2080 bis 2083.1 des Kreisschreibens über das Ver- fahren in der Invalidenversicherung (KSVI) in der 2013 gültigen Fassung direkt die Begutachtung mit Schreiben vom 9. Dezember 2013 angeordnet (act. IIB 269), jedoch darin klar die Möglichkeit eröffnet, Einwendungen zu erheben. Entscheidend ist dabei, dass die Beschwerdegegnerin nicht sofort verfügt hat, sondern der Beschwerdeführerin die Möglichkeit eingeräumt hat, sich zur Begutachtung sowie zum Gutachter zu äussern. Weil gegen Dr. med. E.________ keine berechtigten Ausstands- oder Ablehnungs- gründe vorliegen bzw. vorgebracht wurden, bedurfte es somit gemäss bun- desgerichtlicher Rechtsprechung (Urteil vom 22. Februar 2008, U 553/06, E. 5.2) auch keiner eingehenden Stellungnahme zu den Gegenvorschlägen der Beschwerdeführerin. Es ist denn auch irrelevant, ob die Beschwerde- gegnerin oder die Beschwerdeführerin als erste einen Gutachternamen nennt, wobei dies grundsätzlich durch die Erstgenannte zu erfolgen hat, liegt ihr doch die Verfahrensführung ob. Massgebend ist alleine, dass die Vorgaben gemäss der bundesgerichtlicher Rechtsprechung (E. 3.2 hiervor) eingehalten sind. Damit ist das Vorgehen der Beschwerdegegnerin nicht zu beanstanden. Entgegen der Auffassung in der Beschwerde (S. 3 f.) ist die Einigung schliesslich am Verhalten aller Beteiligten gescheitert. Zwar war die Be- schwerdegegnerin nicht bereit, von ihrem Vorschlag abzurücken; dies traf aber auch auf die Beschwerdeführerin zu. Ein Konsens kam damit nicht zustande und somit war die Beschwerdegegnerin befugt, die Begutach- tungsanordnung mittels Verfügung zu bestätigen (E. 3.2 hiervor). Anders als in der Beschwerde (S. 4. Ziff. 8) vorgebracht, meint Einigung nicht, dass allein die Beschwerdegegnerin ihre Meinung ändert, sondern dies gilt eben- falls für die Beschwerdeführerin. Etwas anders ist schon von der Logik her ausgeschlossen. So kann gemäss bundesgerichtlicher Rechtsprechung</w:t>
      </w:r>
    </w:p>
    <w:p>
      <w:r>
        <w:t>Urteil des Verwaltungsgerichts des Kantons Bern vom 24. April 2014, IV/14/147, Seite 10 (Urteil vom 13. Januar 2014, 8C_512/2013, E. 3.5) eine Partei ohnehin nicht zu einer einvernehmlichen Gutachtenseinholung verpflichtet werden, da dafür stets eine übereinstimmende Willenskundgebung erforderlich ist, welche nicht verbindlich durchgesetzt werden kann. Ein Rechtsanspruch auf konsensuale Bestimmung der Gutachterstelle besteht somit nicht (vgl. auch E. 3.2 in fine hiervor).</w:t>
      </w:r>
    </w:p>
    <w:p>
      <w:r>
        <w:rPr>
          <w:b/>
        </w:rPr>
        <w:t>E. 4.5</w:t>
      </w:r>
    </w:p>
    <w:p>
      <w:r>
        <w:t>Nach dem Dargelegten erweist sich die angefochtene Verfügung vom 10. Januar 2014 (act. IIB 272), mit welcher die Beschwerdegegnerin eine psychiatrische Begutachtung durch Dr. med. E.________ angeordnet hat, als rechtens. Die dagegen erhobene Beschwerde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hat bei diesem Ausgang des Verfahrens die unterliegende Beschwerdeführerin zu tragen (Art. 108 Abs. 1 VRPG; BVR 2009 S. 186 E. 4). Diese werden dem geleis- teten Kostenvorschuss entnommen. Der Restbetrag von Fr. 200.— wird ihr nach Eintritt der Rechtskraft des Urteils zurückerstattet.</w:t>
      </w:r>
    </w:p>
    <w:p>
      <w:r>
        <w:rPr>
          <w:b/>
        </w:rPr>
        <w:t>E. 5.2</w:t>
      </w:r>
    </w:p>
    <w:p>
      <w:r>
        <w:t>Bei diesem Verfahrensausgang hat die Beschwerdeführerin keinen Anspruch auf Parteientschädigung (Art. 61 lit. g ATSG [Umkehrschluss]).</w:t>
      </w:r>
    </w:p>
    <w:p>
      <w:r>
        <w:t>Urteil des Verwaltungsgerichts des Kantons Bern vom 24. April 2014, IV/14/147, Seite 11 Demnach entscheidet der Einzelrichter: 1. Die Beschwerde wird abgewiesen 2. Die Verfahrenskosten von Fr. 500.— werden der Beschwerdeführerin auferlegt und dem geleisteten Kostenvorschuss entnommen. Der restli- che Kostenvorschuss von Fr. 200.— wird der Beschwerdeführerin nach Eintritt der Rechtskraft des Urteils zurückerstattet. 3. Es wird keine Parteientschädigung zugesprochen. 4. Zu eröffnen (R): - Rechtsanwalt B.________ z.H. der Beschwerdeführerin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