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1116 vom 21. Januar 2014</w:t>
      </w:r>
    </w:p>
    <w:p>
      <w:r>
        <w:t>BE Verwaltungsgericht, 2014-01-21, DE</w:t>
      </w:r>
    </w:p>
    <w:p>
      <w:r>
        <w:rPr>
          <w:b/>
        </w:rPr>
        <w:t xml:space="preserve">Quelle: </w:t>
      </w:r>
      <w:r>
        <w:t>https://mcp.opencaselaw.ch/entscheid/be_verwaltungsgericht_200_2012_1116</w:t>
      </w:r>
    </w:p>
    <w:p>
      <w:r>
        <w:t>FR: BE_VERWALTUNGSGERICHT 200 2012 1116 du 21 janvier 2014</w:t>
      </w:r>
    </w:p>
    <w:p>
      <w:r>
        <w:t>IT: BE_VERWALTUNGSGERICHT 200 2012 1116 del 21 gennaio 2014</w:t>
      </w:r>
    </w:p>
    <w:p>
      <w:pPr>
        <w:pStyle w:val="Heading2"/>
      </w:pPr>
      <w:r>
        <w:t>Regeste</w:t>
      </w:r>
    </w:p>
    <w:p>
      <w:r>
        <w:t>Verfügung vom 15. Oktober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15. Oktober 2012 (act. IIa 123).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Am 1. Januar 2012 ist die 6. IV-Revision, erstes Massnahmenpaket, in Kraft getreten. Die Neuanmeldung erfolgte vorliegend am 29. November</w:t>
      </w:r>
    </w:p>
    <w:p>
      <w:r>
        <w:t>Urteil des Verwaltungsgerichts des Kantons Bern vom 21. Jan. 2014, IV/12/1116, Seite 5 2010 (act. II 77) und die angefochtene Verfügung wurde am 15. Oktober 2012 erlassen (act. IIa 123). Da vorbehältlich besonderer übergangsrechtli- cher Regelungen in zeitlicher Hinsicht grundsätzlich diejenigen Rechtssät- ze massgeblich sind, die bei der Erfüllung des rechtlich zu ordnenden oder zu Rechtsfolgen führenden Tatbestandes Geltung haben (BGE 132 V 215 E. 3.1.1 S. 220), ist der Rentenanspruch für die Zeit bis zum 31. Dezember 2011 aufgrund der bisherigen und ab diesem Zeitpunkt nach den neuen Normen zu prüfen.</w:t>
      </w:r>
    </w:p>
    <w:p>
      <w:r>
        <w:rPr>
          <w:b/>
        </w:rPr>
        <w:t>E. 2.2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Für die Beurteilung des Vorliegens einer Erwerbsunfähigkeit sind ausschliesslich die Folgen der gesundheitli- chen Beeinträchtigung zu berücksichtigen. Eine Erwerbsunfähigkeit liegt zudem nur vor, wenn sie aus objektiver Sicht nicht überwindbar ist (Art. 7 Abs. 2 ATSG).</w:t>
      </w:r>
    </w:p>
    <w:p>
      <w:r>
        <w:rPr>
          <w:b/>
        </w:rPr>
        <w:t>E. 2.3</w:t>
      </w:r>
    </w:p>
    <w:p>
      <w:r>
        <w:t>Nicht als Folgen eines psychischen Gesundheitsschadens und da- mit invalidenversicherungsrechtlich nicht als relevant gelten Einschränkun- gen der Erwerbsfähigkeit, welche die versicherte Person bei Aufbietung allen guten Willens, die verbleibende Leistungsfähigkeit zu verwerten, ab- wenden könnte; das Mass des Forderbaren wird dabei weitgehend objektiv bestimmt (BGE 131 V 49 E. 1.2 S. 50, 130 V 352 E. 2.2.1 S. 353; SVR 2007 IV Nr. 47 S. 154 E. 2.4). Entscheidend ist, ob und inwiefern Es der versicherten Person trotz ihres Leidens sozialpraktisch zumutbar ist, die Restarbeitsfähigkeit auf dem ihr nach ihren Fähigkeiten offen stehenden</w:t>
      </w:r>
    </w:p>
    <w:p>
      <w:r>
        <w:t>Urteil des Verwaltungsgerichts des Kantons Bern vom 21. Jan. 2014, IV/12/1116, Seite 6 ausgeglichenen Arbeitsmarkt zu verwerten, und ob dies für die Gesellschaft tragbar ist. Dies ist nach einem weitgehend objektivierten Massstab zu prü- fen (BGE 136 V 279 E. 3.2.1 S. 281).</w:t>
      </w:r>
    </w:p>
    <w:p>
      <w:r>
        <w:rPr>
          <w:b/>
        </w:rPr>
        <w:t>E. 2.4</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2.5</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2.6</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w:t>
      </w:r>
    </w:p>
    <w:p>
      <w:r>
        <w:t>Urteil des Verwaltungsgerichts des Kantons Bern vom 21. Jan. 2014, IV/12/1116, Seite 7</w:t>
      </w:r>
    </w:p>
    <w:p>
      <w:r>
        <w:rPr>
          <w:b/>
        </w:rPr>
        <w:t>E. 2.6.1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w:t>
      </w:r>
    </w:p>
    <w:p>
      <w:r>
        <w:rPr>
          <w:b/>
        </w:rPr>
        <w:t>E. 2.6.2</w:t>
      </w:r>
    </w:p>
    <w:p>
      <w:r>
        <w:t>Für die Festsetzung des Invalideneinkommens ist primär von der beruflich-erwerblichen Situation auszugehen, in welcher die versicherte Person konkret steht (BGE 135 V 297 E. 5.2 S. 301; SVR 2011 IV Nr. 37 S. 110 E. 4.1). Hat die versicherte Person nach Eintritt des Gesundheitsscha- dens keine oder jedenfalls keine ihr an sich zumutbare neue Erwerbstätig- keit aufgenommen, so können nach der Rechtsprechung Tabellenlöhne gemäss den vom Bundesamt für Statistik herausgegebenen Lohnstruktur- 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 einkommen ist nach pflichtgemässem Ermessen gesamthaft zu schätzen, wobei der Abzug auf insgesamt höchstens 25 % zu begrenzen ist (BGE 135 V 297 E. 5.2 S. 301, 134 V 322 E. 5.2 S. 327; SVR 2011 IV Nr. 31 S. 91 E. 4.1.1).</w:t>
      </w:r>
    </w:p>
    <w:p>
      <w:r>
        <w:t>Urteil des Verwaltungsgerichts des Kantons Bern vom 21. Jan. 2014, IV/12/1116, Seite 8</w:t>
      </w:r>
    </w:p>
    <w:p>
      <w:r>
        <w:rPr>
          <w:b/>
        </w:rPr>
        <w:t>E. 2.7.1</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2.7.2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2.7.3</w:t>
      </w:r>
    </w:p>
    <w:p>
      <w:r>
        <w:t>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2008 IV Nr. 15 S. 44 E. 2.2.1).</w:t>
      </w:r>
    </w:p>
    <w:p>
      <w:r>
        <w:t>Urteil des Verwaltungsgerichts des Kantons Bern vom 21. Jan. 2014, IV/12/1116, Seite 9</w:t>
      </w:r>
    </w:p>
    <w:p>
      <w:r>
        <w:rPr>
          <w:b/>
        </w:rPr>
        <w:t>E. 2.7.4</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3.1</w:t>
      </w:r>
    </w:p>
    <w:p>
      <w:r>
        <w:t>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bis 31. Dezember 2011 Art. 87 Abs. 3 und 4 IVV). Dies gilt auch für Revisionsgesuche im Sinne von Art. 17 Abs. 1 ATSG (BGE 130 V 343 E. 3.5.3 S. 351) sowie analog, wenn die versi- cherte Person nach vorausgegangener rechtskräftiger Ablehnung erneut eine Eingliederungsmassnahme beantragt (BGE 113 V 22 E. 3b S. 27; ZAK 1991 S. 262 E. 1a). Diese Eintretensvoraussetzung soll verhindern, dass sich die Verwaltung immer wieder mit gleichlautenden und nicht näher be- gründeten, d.h. keine Veränderung des Sachverhalts darlegenden Renten- gesuchen befassen muss (BGE 133 V 108 E. 5.3.1 S. 112).</w:t>
      </w:r>
    </w:p>
    <w:p>
      <w:r>
        <w:rPr>
          <w:b/>
        </w:rPr>
        <w:t>E. 3.2</w:t>
      </w:r>
    </w:p>
    <w:p>
      <w:r>
        <w:t>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 nem Revisionsfall nach Art. 17 Abs. 1 ATSG vorzugehen (SVR 2011 IV Nr. 2 S. 8 E. 3.2). Stellt sie fest, dass der Invaliditätsgrad seit Erlass der frühe- ren rechtskräftigen Verfügung keine Veränderung erfahren hat, so weist sie das neue Gesuch ab. Andernfalls hat sie zusätzlich noch zu prüfen, ob die</w:t>
      </w:r>
    </w:p>
    <w:p>
      <w:r>
        <w:t>Urteil des Verwaltungsgerichts des Kantons Bern vom 21. Jan. 2014, IV/12/1116, Seite 10 festgestellte Veränderung genügt, um nunmehr eine rentenbegründende Invalidität zu bejahen, und hernach zu beschliessen. Im Beschwerdefall obliegt die gleiche materielle Prüfungspflicht auch dem Gericht (BGE 117 V 198 E. 3a S. 198; SVR 2008 IV Nr. 35 S. 117 E. 2.1).</w:t>
      </w:r>
    </w:p>
    <w:p>
      <w:r>
        <w:rPr>
          <w:b/>
        </w:rPr>
        <w:t>E. 3.3</w:t>
      </w:r>
    </w:p>
    <w:p>
      <w:r>
        <w:t>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rPr>
          <w:b/>
        </w:rPr>
        <w:t>E. 4.1</w:t>
      </w:r>
    </w:p>
    <w:p>
      <w:r>
        <w:t>Die Beschwerdegegnerin ist auf die Neuanmeldung vom 29. No- vember 2010 (act. II 77) eingetreten und hat den Rentenanspruch materiell abgeklärt. Vorliegend erfolgte die letzte Verneinung des Rentenanspruchs mit Verfügung vom 3. Juli 2007 (act. IIa 62), bestätigt durch den unange- fochten gebliebenen Entscheid VGE IV/68526 vom 3. Juli 2009 (act. II 75). Der Sachverhalt im damaligen Verfügungszeitpunkt ist mit demjenigen im Zeitpunkt der vorliegend angefochtenen Verfügung vom 15. Oktober 2012 zu vergleichen, um zu prüfen, ob eine anspruchsbegründende Änderung in den für den Invaliditätsgrad erheblichen Tatsachen eingetreten ist (vgl. 3.3 hiervor).</w:t>
      </w:r>
    </w:p>
    <w:p>
      <w:r>
        <w:rPr>
          <w:b/>
        </w:rPr>
        <w:t>E. 4.2</w:t>
      </w:r>
    </w:p>
    <w:p>
      <w:r>
        <w:t>In medizinischer Hinsicht lag der Verfügung vom 3. Juli 2007 insbe- sondere das MEDAS-Gutachten 2006 (act. II 31) samt orthopädischem, neurologischem und psychiatrischem Teilgutachten zugrunde. Darin wur- den die folgenden Diagnosen festgehalten: Mit Auswirkung auf die Arbeitsfähigkeit: 1. Chronisch rezidivierende Beschwerden der Wirbelsäule a. Fehlstatik, Haltungsinsuffizienz, muskulärer Hartspann und ver- schmächtigte Rumpfmuskulatur b. Zustand nach zweimaliger Bandscheibenoperation lumbosakral links</w:t>
      </w:r>
    </w:p>
    <w:p>
      <w:r>
        <w:t>Urteil des Verwaltungsgerichts des Kantons Bern vom 21. Jan. 2014, IV/12/1116, Seite 11 c. Kernspintomographie-Aufnahmen aus dem Jahr 2004 zeigen einen Re- zidiv-Prolaps lumbosakral links bei Narbengewebe d. kein nervenwurzelbezogenes neurologisches Defizit e. Beidseits erheblich verkürzte Ischiokruralmuskulatur 2. Andauernde Persönlichkeitsänderung bei chronischer Erkrankung In der Beurteilung wurde festgehalten, dass die geklagten Beschwerden der Wirbelsäule in der orthopädischen Untersuchung klinisch wie radiolo- gisch ihr Korrelat fänden; der Versicherte habe mittlerweile ein chronisches Schmerzsyndrom entwickelt. Begleitend dazu habe eine Persönlichkeits- veränderung stattgefunden (Entwicklung von Zügen einer depressiven Ver- stimmung bis hin zur schweren depressiven Episode sowie deutlichen fremdaggressiven impulsgestörten Persönlichkeitszügen). In angepasster Tätigkeit (körperlich leichte bis gelegentlich mittelschwere Tätigkeit, bevor- zugt aus wechselnder Ausgangslage, Tätigkeit in geschütztem Rahmen) sei der Versicherte voll arbeitsfähig, wobei allerdings eine stufenweise Er- höhung des Arbeitspensums angezeigt sei. Schmerzbedingt und bei aus- geprägter Dekonditionierung sei die Arbeitsfähigkeit initial um 30% redu- ziert. An invaliditätsfremden Faktoren werden die Dekonditionierung, die ungenügenden Sprachkenntnisse, die psychosoziale Situation sowie die im Gespräch nicht erkennbare Motivation des Versicherten zur Wiederauf- nahme einer Erwerbstätigkeit genannt. Mittel- bis langfristig könne von ei- ner regelmässigen Erwerbstätigkeit ein positiver Effekt auf die Gesamts- ituation erwartet werden.</w:t>
      </w:r>
    </w:p>
    <w:p>
      <w:r>
        <w:rPr>
          <w:b/>
        </w:rPr>
        <w:t>E. 4.3</w:t>
      </w:r>
    </w:p>
    <w:p>
      <w:r>
        <w:t>Nach der Neuanmeldung von November 2010 (act. II 77) ist den Akten in medizinischer Hinsicht hauptsächlich das Folgende zu entnehmen:</w:t>
      </w:r>
    </w:p>
    <w:p>
      <w:r>
        <w:rPr>
          <w:b/>
        </w:rPr>
        <w:t>E. 4.3.1</w:t>
      </w:r>
    </w:p>
    <w:p>
      <w:r>
        <w:t>Im Bericht vom 27. März 2011 (act. IIa 92/3 – 5; vgl. auch Bericht vom 14. November 2010 [act. II 82]) hielt Dr. med. F.________, Facharzt für Allgemeine Innere Medizin FMH, fest, die dauernd bestehenden lumba- len Schmerzen, welche bei kleinsten Belastungen zunähmen und in die Beine ausstrahlten, seien zunehmend immobilisierend. Zusätzlich träten bei Belastungen Beinschwächen und Gramselparästhesien auf. Auch in der Nacht beim Liegen bestünden Beinbeschwerden, z.T. mit Sensibilitätss- törungen beidseits (betreffend zusammenfassender Beurteilung vgl. Bericht des Spitals C.________ vom 9. April 2010 [act. IIa 92/6 f.]). Zusätzlich sei- en in den letzten zwei Jahren Nackenschmerzen mit chronischer Kopf-</w:t>
      </w:r>
    </w:p>
    <w:p>
      <w:r>
        <w:t>Urteil des Verwaltungsgerichts des Kantons Bern vom 21. Jan. 2014, IV/12/1116, Seite 12 schmerzsymptomatik (zervikal/Spannungskopfschmerz) wie auch rezidi- vierender Schwindel und Tinnitus aufgetreten (vgl. Bericht von Dr. med. G.________, Facharzt für Oto-Rhino-Laryngologie FMH, vom 17. März 2010 [act. IIa 92/8 f.] mit Verweis auf zervikogene evtl. psychosomatische Komponenten). Eine weitere Chronifizierung und Verschlechterung der Situation zeige sich auch im psychischen Bereich. Trotz hochdosierter Psy- chopharmakotherapie mit psychiatrischer Begleitung habe sich das de- pressiv-aggressive Syndrom mehr und mehr chronifiziert. Die Familie sei stark mitbelastet, eine häusliche Trennung habe stattgefunden. Weiter zu erwähnen sei in Richtung Chronifizierung und Gesundheitsbelastung die Arteriopathie/koronare Herzkrankheit mit Adipositas/Nikotinabusus/Hyper- cholesterinämie, welche nicht unabhängig von der oben genannten Pro- blematik zu sehen sei. Dr. med. F.________ attestierte ab dem 7. August 2003 bis auf Weiteres eine 100 %-ige Arbeitsunfähigkeit. Die bisherigen Erwerbstätigkeiten seien nicht mehr zumutbar. Auch für kleinste Arbeiten mit wechselnder Position seien nur ganz kurze Tätigkeiten möglich (zirka 15 bis 30 Minuten), danach müssten diese wegen Beschwerden wieder abgebrochen werden.</w:t>
      </w:r>
    </w:p>
    <w:p>
      <w:r>
        <w:rPr>
          <w:b/>
        </w:rPr>
        <w:t>E. 4.3.2</w:t>
      </w:r>
    </w:p>
    <w:p>
      <w:r>
        <w:t>Der behandelnde Psychiater Dr. med. H.________ führte im Bericht vom 30. Juli 2011 (act. IIa 99; vgl. auch Bericht vom 15. Februar 2011 [act. IIa 89/2]) die folgenden Diagnosen mit Auswirkung auf die Arbeitsfähigkeit auf: Rezidivierende depressive Störung, gegenwärtig schwere Episode mit Automutilationen (Status nach mehreren Hand- und Armfrakturen) ICD-10: F33.2, bestehend seit 2003; Diskushernie beidseits, trotz zweifacher Dis- kushernienoperation, bestehend seit 2010; koronare Herzkrankheit mit Sta- tus nach Myokardinfarkt, bestehend seit 2005; Status nach mehreren Hos- pitalisationen; andauernde Persönlichkeitsänderung bei chronischer Er- krankung ICD-10: F62.0. Dr. med. H.________ attestierte ab 2008 bis heu- te eine 100 %-ige Arbeitsunfähigkeit und hielt fest, nach der Begutachtung im Jahr 2006 habe der Beschwerdeführer in der Abklärungsstelle Y.________ (richtig: Abklärungsstelle Z. ________) ohne Erfolg einen Ar- beitsversuch unternommen. Gleichzeitig sollte er sich von seiner Ehefrau trennen, da er sie viele Male geschlagen und bedroht habe. Er lebe im Moment ganz alleine. Im Jahr 2010 habe er eine neue Untersuchung (be- treffend Diskushernie) im Spital C.________ gehabt, bei welcher neue Ein-</w:t>
      </w:r>
    </w:p>
    <w:p>
      <w:r>
        <w:t>Urteil des Verwaltungsgerichts des Kantons Bern vom 21. Jan. 2014, IV/12/1116, Seite 13 engungen beidseits festgestellt worden seien. Das habe bei ihm noch mehr Stress verursacht, da Er das tägliche Leben nicht mehr ertragen könne (wegen Schmerzen und psychischer Unruhe). Er habe angefangen, während Impulsausbrüchen seine Hände an die Wand zu schlagen, wo- durch Frakturen entstanden seien. Der Beschwerdeführer könne ausser bei sehr akuter Suizidalität nicht mehr in die psychiatrische Klinik eingewiesen werden, da er letztes Mal, während der Hospitalisation in der I.________ einen Mitpatienten heftig geschlagen habe.</w:t>
      </w:r>
    </w:p>
    <w:p>
      <w:r>
        <w:rPr>
          <w:b/>
        </w:rPr>
        <w:t>E. 4.3.3</w:t>
      </w:r>
    </w:p>
    <w:p>
      <w:r>
        <w:t>Das von der Beschwerdegegnerin in Auftrag gegebene MEDAS- Gutachten 2012 (act. IIa 116.1) basiert auf internistischen, kardiologischen, orthopädisch-chirurgischen und psychiatrischen Beurteilungen in Kenntnis der Vorakten und nach entsprechenden Untersuchungen. Darin wurde Fol- gendes diagnostiziert (act. IIa 116.1/54): Diagnosen mit Einfluss auf die Arbeitsfähigkeit: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