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264 vom 19. August 2024</w:t>
      </w:r>
    </w:p>
    <w:p>
      <w:r>
        <w:t>BE Verwaltungsgericht, 2024-08-19, DE</w:t>
      </w:r>
    </w:p>
    <w:p>
      <w:r>
        <w:rPr>
          <w:b/>
        </w:rPr>
        <w:t xml:space="preserve">Quelle: </w:t>
      </w:r>
      <w:r>
        <w:t>https://mcp.opencaselaw.ch/entscheid/be_verwaltungsgericht_100_2024_264</w:t>
      </w:r>
    </w:p>
    <w:p>
      <w:r>
        <w:t>FR: BE_VERWALTUNGSGERICHT 100 2024 264 du 19 août 2024</w:t>
      </w:r>
    </w:p>
    <w:p>
      <w:r>
        <w:t>IT: BE_VERWALTUNGSGERICHT 100 2024 264 del 19 agosto 2024</w:t>
      </w:r>
    </w:p>
    <w:p>
      <w:pPr>
        <w:pStyle w:val="Heading2"/>
      </w:pPr>
      <w:r>
        <w:t>Regeste</w:t>
      </w:r>
    </w:p>
    <w:p>
      <w:r>
        <w:t>Baubewilligung; Umbau einer bestehenden Mobilfunkanlage (Entscheid der Bau- und Verkehrsdirektion des Kantons Bern vom 19. August 2024; BVD 110/2024/49)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 genommen. Als Aktiengesellschaft ist sie eine juristische Person und kann wie eine Privatperson Einsprache bzw. Beschwerde erheben, wenn sie wie eine natürliche Person betroffen ist (Zaugg/Ludwig, Kommentar zum bernischen BauG, Band I/II, 5. Aufl. 2020/2024, Art. 35-35c N. 21). Als Grun- deigentümerin der innerhalb des Einspracheperimeters gelegenen Parzelle Aarberg Gbbl. Nr. 2________ ist ihre Beschwerdelegitimation zu bejahen.</w:t>
      </w:r>
    </w:p>
    <w:p>
      <w:r>
        <w:t>Urteil des Verwaltungsgerichts des Kantons Bern vom 27.10.2025, Nr. 100.2024.264U, Seite 4 Sie ist durch den angefochtenen Entscheid besonders berührt und hat ein schutzwürdiges Interesse an dessen Aufhebung oder Änderung (Art. 79 Abs. 1 VRPG; vgl. auch Art. 40 Abs. 5 i.V.m. Abs. 2 des Baugesetzes vom 9. Juni 1985 [BauG; BSG 721.0]). Die Bestimmungen über Form und Frist sind eingehalten (Art. 81 Abs. 1 i.V.m. Art. 32 VRPG). Auf die Beschwerde ist einzutreten (vgl. auch hinten E. 3.3).</w:t>
      </w:r>
    </w:p>
    <w:p>
      <w:r>
        <w:rPr>
          <w:b/>
        </w:rPr>
        <w:t>E. 1.2</w:t>
      </w:r>
    </w:p>
    <w:p>
      <w:r>
        <w:t>Das Verwaltungsgericht überprüft den angefochtenen Entscheid auf Rechtsverletzungen hin (Art. 80 Bst. a und b VRPG).</w:t>
      </w:r>
    </w:p>
    <w:p>
      <w:r>
        <w:rPr>
          <w:b/>
        </w:rPr>
        <w:t>E. 2.1</w:t>
      </w:r>
    </w:p>
    <w:p>
      <w:r>
        <w:t>Die Beschwerdeführerin macht geltend, die Vorinstanz habe sämtli- che Verfahrensanträge zur Klärung der tatsächlich und rechtlich korrekten Sachverhaltsdarstellung abgelehnt oder sei nicht darauf eingetreten, wo- durch ihr rechtliches Gehör verletzt worden sei (Beschwerde Ziff. I/3.6 S. 4, Ziff. I/3.15 S. 6; Replik S. 2, act. 9). Im Einzelnen bemängelt die Beschwer- deführerin, die BVD habe es unterlassen, durch die Fachstelle abklären zu lassen, an welchen Orten und in welchem Umfang es durch den adaptiven Antennenbetrieb zu Überschreitungen des Anlagegrenzwerts komme. In ih- rer Verwaltungsgerichtsbeschwerde stellt sie einen gleichlautenden Verfah- rensantrag (Beschwerde Ziff. I/3.6 S. 4 sowie S. 6 unten), den sie in ihrer Replik zurückzieht bzw. durch ein Ausstands- und Ablehnungsbegehren er- setzt (Replik S. 2, act. 9). Die Beschwerdeführerin macht zudem geltend, die BVD habe zu Unrecht keine weiteren Unterlagen eingeholt (Beschwerde Ziff. I/3.15 S. 6).</w:t>
      </w:r>
    </w:p>
    <w:p>
      <w:r>
        <w:rPr>
          <w:b/>
        </w:rPr>
        <w:t>E. 2.2</w:t>
      </w:r>
    </w:p>
    <w:p>
      <w:r>
        <w:t>Der Anspruch auf rechtliches Gehör (Art. 29 Abs. 2 der Bundesver- fassung [BV; SR 101], Art. 26 Abs. 2 der Verfassung des Kantons Bern [KV; BSG 101.1], Art. 21 ff. VRPG) umfasst unter anderem das Recht auf Einsicht in Verfahrensakten (BGE 144 II 427 E. 3.1; BVR 2022 S. 51 E. 2.3), das Recht, mit erheblichen Beweisanträgen gehört zu werden (BGE 149 I 91 E. 3.2; Michel Daum, in Herzog/Daum [Hrsg.], Kommentar zum bernischen VRPG, 2. Aufl. 2020, Art. 21 N. 15) und das Recht auf einen begründeten Entscheid (BGE 148 III 30 E. 3.1; BVR 2022 S. 51 E. 2.3). Aufgrund ihrer</w:t>
      </w:r>
    </w:p>
    <w:p>
      <w:r>
        <w:t>Urteil des Verwaltungsgerichts des Kantons Bern vom 27.10.2025, Nr. 100.2024.264U, Seite 5 formellen Natur ist die Gehörsrüge vorweg zu behandeln (Michel Daum, a.a.O., Art. 21 N. 9).</w:t>
      </w:r>
    </w:p>
    <w:p>
      <w:r>
        <w:rPr>
          <w:b/>
        </w:rPr>
        <w:t>E. 2.3</w:t>
      </w:r>
    </w:p>
    <w:p>
      <w:r>
        <w:t>Wie die Vorinstanz im angefochtenen Entscheid zutreffend ausführt, wird die Einhaltung der Anlagegrenzwerte an den Orten mit empfindlicher Nutzung (OMEN) im Rahmen einer rechnerischen Prognose basierend auf den Angaben der Mobilfunkbetreiberin im Standortdatenblatt geprüft (dazu hinten E. 5.1). Die Mobilfunkbetreiberin reichte ein vollständiges Standortda- tenblatt einschliesslich Situationsplan und Antennendiagramme ein (Vorak- ten Regierungsstatthalteramt [RSA] 4B pag. 225). Weitere Angaben waren für die rechnerische Prognose nicht erforderlich. Die BVD hat das rechtliche Gehör nicht verletzt, indem sie es abgelehnt hat, von der Mobilfunkbetreibe- rin weitere Unterlagen (Originalantennendiagramme, detaillierte Produktein- formationen, Angaben der Einstellungen für den realen Betrieb) herauszu- verlangen und diese der Beschwerdeführerin zuzustellen (angefochtener Entscheid E. 5c). Auch diese Unterlagen waren und sind nicht entscheidre- levant (dazu hinten E. 5.3; vgl. etwa Michel Daum, a.a.O., Art. 18 N. 27 f.; zum Ablehnungsbegehren hinten E. 3).</w:t>
      </w:r>
    </w:p>
    <w:p>
      <w:r>
        <w:rPr>
          <w:b/>
        </w:rPr>
        <w:t>E. 2.4</w:t>
      </w:r>
    </w:p>
    <w:p>
      <w:r>
        <w:t>Soweit die Beschwerdeführerin eine Verletzung der Begründungs- pflicht durch die Vorinstanz bemängelt, ist ihr entgegenzuhalten, dass mit der Beschränkung auf die für den Entscheid wesentlichen Punkte der Be- gründungspflicht Genüge getan ist. Die Begründung muss so abgefasst sein, dass sich die betroffene Person über die Tragweite des Entscheids Rechen- schaft geben und ihn in voller Kenntnis der Sache an die höhere Instanz weiterziehen kann. In diesem Sinn müssen wenigstens kurz die Überlegun- gen genannt werden, von denen sich die Behörde hat leiten lassen und auf die sich ihr Entscheid stützt (statt vieler BGE 142 I 135 E. 2.1; BVR 2025 S. 219 E. 3.1, je mit Hinweisen). – Der angefochtene Entscheid genügt die- sen Anforderungen. Die Vorinstanz hat in E. 4b des angefochtenen Ent- scheids verständlich und nachvollziehbar dargelegt, dass sie den Antrag, es sei durch die NIS-Fachstelle aufzuzeigen, wo und wie stark die Grenzwerte überschritten würden, mangels Erheblichkeit abgewiesen hat. Betreffend den von der Beschwerdeführerin eingeforderten Unterlagen (Originalanten- nendiagramme, detaillierte Produkteinformationen, Angaben der Einstellun- gen für den realen Betrieb) verneinte die Vorinstanz entgegen den Ausfüh-</w:t>
      </w:r>
    </w:p>
    <w:p>
      <w:r>
        <w:t>Urteil des Verwaltungsgerichts des Kantons Bern vom 27.10.2025, Nr. 100.2024.264U, Seite 6 rungen der Beschwerdeführerin nicht deren Anspruch auf Einsicht, sondern kam zum Schluss, die Baugesuchsunterlagen enthielten alle wesentlichen Informationen zur Beurteilung der Immissionssituation, weshalb kein Anlass bestehe, von der Baugesuchstellerin weitere Unterlagen einzuverlangen (an- gefochtener Entscheid E. 5b und 5c). Auch hier ist somit keine Verletzung der Begründungspflicht ersichtlich.</w:t>
      </w:r>
    </w:p>
    <w:p>
      <w:r>
        <w:rPr>
          <w:b/>
        </w:rPr>
        <w:t>E. 3.1</w:t>
      </w:r>
    </w:p>
    <w:p>
      <w:r>
        <w:t>Die Beschwerdeführerin beantragt die Feststellung, dass der Vorste- her des Amtes für Umwelt und Energie des Kantons Bern (AUE) befangen sei, und verlangt vom Verwaltungsgericht, die vom AUE verfassten Berichte und Stellungnahmen nicht zu berücksichtigen und durch solche einer unab- hängigen und nicht befangenen Institution oder Person zu ersetzen (Verfah- rensantrag in Replik S. 3, act. 9). Der angefochtene Entscheid stütze sich massgeblich auf Stellungnahmen des AUE ab. Der Vorsteher des AUE habe in der Vergangenheit die Anwendung des Korrekturfaktors von adaptiv be- triebenen Antennen im sog. Bagatellverfahren und ohne Baubewilligung rechtswidrig erlaubt. Er begünstige die Mobilfunkbranche systematisch, was seine Voreingenommenheit aufzeige (Replik S. 2 ff., act. 9).</w:t>
      </w:r>
    </w:p>
    <w:p>
      <w:r>
        <w:rPr>
          <w:b/>
        </w:rPr>
        <w:t>E. 3.2</w:t>
      </w:r>
    </w:p>
    <w:p>
      <w:r>
        <w:t>Die Beschwerdeführerin setzt sich in keiner Weise mit den Erwägun- gen der Vorinstanz auseinander, die sich bereits mit der gleichen Rüge be- fasst hat (angefochtener Entscheid E. 2b). Die Vorinstanz hat aufgezeigt, dass kein Ausstands- oder Ablehnungsgrund nach Art. 9 VRPG gegeben ist. Insbesondere reiche allein die Einreichung einer Strafanzeige gegen ein Behördenmitglied zur Begründung einer Befangenheit nicht aus. Es würden keine Hinweise vorliegen, dass der Amtsvorsteher des AUE nicht nach bes- tem Wissen und Gewissen gehandelt hat.</w:t>
      </w:r>
    </w:p>
    <w:p>
      <w:r>
        <w:rPr>
          <w:b/>
        </w:rPr>
        <w:t>E. 3.3</w:t>
      </w:r>
    </w:p>
    <w:p>
      <w:r>
        <w:t>Diese Erwägungen sind nicht zu beanstanden. Soweit die Beschwer- deführerin geltend macht, das AUE bewillige adaptive Antennen unzulässi- gerweise im «Bagatellverfahren», ist ihr entgegenzuhalten, dass die Ent- scheide des Bundesgerichts, wonach der Ersatz einer konventionellen An- tenne durch eine adaptive Antenne (BGer 1C_414/2022 vom 29.8.2024 und</w:t>
      </w:r>
    </w:p>
    <w:p>
      <w:r>
        <w:t>Urteil des Verwaltungsgerichts des Kantons Bern vom 27.10.2025, Nr. 100.2024.264U, Seite 7 1C_332/2023 vom 11.10.2024) und die Anwendung des Korrekturfaktors bei einer bestehenden adaptiven Antenne ein Baubewilligungsverfahren erfor- dert (BGE 150 II 379), dem AUE bekannt sind und keine Anhaltspunkte er- sichtlich sind, wonach das AUE diese Rechtsprechung ignoriert. Die in der Beschwerde angeführten Äusserungen des Amtsvorstehers ergingen im De- zember 2022 und lange vor den erwähnten Urteilen. Dass eine bestimmte Vollzugspraxis im Nachhinein gerichtlich als nicht in allen Teilen rechtskon- form beurteilt worden ist, zeigt zudem keine Voreingenommenheit auf (vgl. Lucie von Büren, in Herzog/Daum [Hrsg.], Kommentar zum bernischen VRPG, 2. Aufl. 2020, Art. 9 N. 28 a.E.). Der Vorwurf, der Vorsteher des AUE sei voreingenommen, ist nach dem Gesagten unzutreffend und unbegrün- det. Es kann daher offenbleiben, ob der gestellte Antrag auf «Feststellung der Befangenheit» überhaupt zulässig ist (Subsidiarität von Feststellungsbe- gehren; vgl. dazu BVR 2016 S. 273 E. 2.2). Der Antrag der Beschwerdefüh- rerin auf Feststellung der Befangenheit des Amtsvorstehers des AUE ist ab- zuweisen, soweit darauf einzutreten ist. Es besteht für das Verwaltungsge- richt sodann kein Anlass, nicht auf Berichte und Stellungnahmen des AUE abzustellen, und es ist auch nicht zu beanstanden, dass die Vorinstanzen darauf abgestellt haben.</w:t>
      </w:r>
    </w:p>
    <w:p>
      <w:r>
        <w:rPr>
          <w:b/>
        </w:rPr>
        <w:t>E. 4</w:t>
      </w:r>
    </w:p>
    <w:p>
      <w:r>
        <w:t>Wird bei bestehenden adaptiven Sendeantennen ein Korrekturfaktor KAA angewendet, so reicht der Inhaber der Anlage der zuständigen Behörde ein aktualisiertes Standortdatenblatt ein. Gemäss dieser neuen Regelung muss mit anderen Worten bei adaptiven Antennen mit acht oder mehr Sub-Arrays die im Standortdatenblatt dekla- rierte Sendeleistung (ERPn) nicht wie bei konventionellen Antennen im Ma- ximum, sondern nur noch über 6 Minuten gemittelt eingehalten werden, wo- bei die momentane Leistung vorübergehend höchstens um den Kehrwert des Korrekturfaktors (1/KAA) von der deklarierten Sendeleistung abweichen darf (ERPn = KAA x ERPmax). Für den rechnerischen Nachweis der Strah- lungsgrenzwerte wird die korrigierte Sendeleistung ERPn herangezogen, weshalb die elektrische Feldstärke an einem sog. OMEN zeitweise über den Anlagegrenzwerten liegen kann (zum Ganzen BGer 1C_307/2023 vom 9.12.2024 [zur Publikation vorgesehen] E. 3.3; vgl. auch Nachtrag zur Voll- zugsempfehlung Ziff. 3.3.2 f. und 3.4 f. S. 9 ff.).</w:t>
      </w:r>
    </w:p>
    <w:p>
      <w:r>
        <w:rPr>
          <w:b/>
        </w:rPr>
        <w:t>E. 4.1</w:t>
      </w:r>
    </w:p>
    <w:p>
      <w:r>
        <w:t>Unter adaptiven Antennen im Sinn der Verordnung über den Schutz vor nichtionisierender Strahlung vom 23. Dezember 1999 (NISV; SR 814.710) werden Sendeantennen verstanden, die ihre Senderichtung und/oder ihr Antennendiagramm mittels separat ansteuerbaren Elementar- antennen (Sub-Arrays) automatisch durch Algorithmen in kurzen zeitlichen Abständen ohne Veränderung der Montagerichtung anpassen (sog. "Beam-</w:t>
      </w:r>
    </w:p>
    <w:p>
      <w:r>
        <w:t>Urteil des Verwaltungsgerichts des Kantons Bern vom 27.10.2025, Nr. 100.2024.264U, Seite 8 forming"), dies im Unterschied zu konventionellen Antennen, die mit einer im Wesentlichen konstanten räumlichen Strahlungsverteilung senden. Diese Anpassung kann sowohl in horizontaler als auch in vertikaler Senderichtung geschehen. Das Signal wird damit bevorzugt in jene Richtung übertragen, wo es durch die Endgeräte angefordert wird; in allen anderen Richtungen ist die Strahlung tiefer (BGE 150 II 379 E. 2.1 mit weiteren Hinweisen).</w:t>
      </w:r>
    </w:p>
    <w:p>
      <w:r>
        <w:rPr>
          <w:b/>
        </w:rPr>
        <w:t>E. 4.2</w:t>
      </w:r>
    </w:p>
    <w:p>
      <w:r>
        <w:t>Der Bundesrat hat am 17. April 2019 im Hinblick auf die Einführung der adaptiven Antennen die Definition des massgebenden Betriebszustands von Mobilfunkbasisstationen in Anhang 1 Ziff. 63 NISV angepasst (Inkraft- treten am 1.6.2019; AS 2019 1491). Dabei verankerte er den Grundsatz, dass die Variabilität der Senderichtungen und Antennendiagramme von ad- aptiven Antennen bei der Festlegung des massgebenden Betriebszustands zu berücksichtigen ist. Die konkrete Ausgestaltung wurde damals bewusst zugunsten einer Regelung auf Stufe Vollzugshilfe offengelassen (Erläuterun- gen des BAFU vom 17.4.2019 zur Änderung der NISV, Ziff. 4.4 S. 8, einseh- bar unter: &lt;www.bafu.admin.ch&gt;, &lt;Rubriken «Themen/Elektrosmog/Recht- setzung und Vollzug/Erläuternde Berichte»). Das BAFU hat in der Folge am 23. Februar 2021 den Nachtrag «Adaptive Antennen» zur Vollzugsempfeh- lung zur NISV des Bundesamts für Umwelt, Wald und Landschaft (BUWAL; heute: BAFU) «Basisstationen Mobilfunk- und WLL» aus dem Jahr 2002 pu- bliziert (nachfolgend: Nachtrag zur Vollzugsempfehlung, einsehbar unter: &lt;www.bafu.admin.ch&gt;, Rubriken «Themen/Elektrosmog/ Vollzug in der Praxis/Mobilfunk: Vollzugshilfen»). In diesem Nachtrag hat es den genannten Grundsatz dahingehend konkretisiert, dass ein Korrekturfak- tor für die maximale ERP (effective radiated power, dt. äquivalente Strah- lungsleistung) angewendet werden darf, wenn die Sendeantennen mit einer automatischen Leistungsbegrenzung ausgestattet werden, die sicherstellt, dass im Betrieb die über 6 Minuten gemittelte ERP die korrigierte ERP nicht überschreitet (Ziff. 3.2 S. 7 f.). Verschiedene Elemente dieser Definition wur- den vom Bundesrat in der Zwischenzeit in Anhang 1 Ziff. 63 NISV auf Ver- ordnungsstufe verankert (Inkrafttreten am 1.1.2022; AS 2021 901; weitere Vollzugsanpassungen erfolgten mit Änderungen der Art. 11a f. und 19b NISV vom 29.9.2023, in Kraft seit 1.11.2023; AS 2023 583). Anhang 1 Ziff. 63 NISV lautet neu wie folgt:</w:t>
      </w:r>
    </w:p>
    <w:p>
      <w:r>
        <w:t>Urteil des Verwaltungsgerichts des Kantons Bern vom 27.10.2025, Nr. 100.2024.264U, Seite 9 1 Als massgebender Betriebszustand gilt der maximale Gesprächs- und Datenverkehr bei maximaler Sendeleistung. 2 Bei adaptiven Sendeantennen mit 8 oder mehr separat ansteuerbaren Antenneneinheiten (Sub-Arrays) kann auf die maximale ERP ein Kor- rekturfaktor KAA angewendet werden, wenn die Sendeantennen mit ei- ner automatischen Leistungsbegrenzung ausgestattet werden. Diese muss sicherstellen, dass im Betrieb die über 6 Minuten gemittelte ERP die korrigierte ERP nicht überschreitet. 3 Es gelten folgende Korrekturfaktoren KAA: ≥ 0.10 (bei 64 und mehr Sub-Arrays) ≥ 0.13 (32 bis 63 Sub-Arrays) ≥ 0.20 (16 bis 31 Sub-Arrays) ≥ 0.40 (8 bis 15 Sub-Arrays)</w:t>
      </w:r>
    </w:p>
    <w:p>
      <w:r>
        <w:rPr>
          <w:b/>
        </w:rPr>
        <w:t>E. 4.3</w:t>
      </w:r>
    </w:p>
    <w:p>
      <w:r>
        <w:t>Das Bundesgericht hat sich im Leitentscheid 1C_307/2023 vom</w:t>
      </w:r>
    </w:p>
    <w:p>
      <w:r>
        <w:rPr>
          <w:b/>
        </w:rPr>
        <w:t>E. 9</w:t>
      </w:r>
    </w:p>
    <w:p>
      <w:r>
        <w:t>Soweit die Beschwerdeführerin geltend macht, es bestehe am betroffenen Standort kein Bedarf für zusätzliche Mobilfunkleistung und/oder die 5G- Technologie (Beschwerde Ziff. II/8 S. 23 f.), ist sie darauf hinzuweisen, dass die Mobilfunkbetreiberin für die Erteilung der Baubewilligung kein öffentli- ches Interesse nachweisen muss (vgl. BGer 1C_176/2022 vom 18.7.2024 E. 4.3.5). Wie die Vorinstanz zutreffend dargelegt hat, ist die Frage des ge- sellschaftlichen Interesses an der Einführung der 5G-Technologie im Baube- willigungsverfahren somit nicht zu prüfen (angefochtener Entscheid E. 10b). Unbegründet ist schliesslich der vorgebrachte Einwand des hohen Stromver- brauchs der projektierten Anlage (Beschwerde Ziff. II/9 S. 24). Wie die Vorinstanz zutreffend festhält, spielt der Stromverbrauch einer Mobilfunkan- lage für die Bewilligungsfähigkeit keine Rolle (angefochtener Entscheid E. 10b).</w:t>
      </w:r>
    </w:p>
    <w:p>
      <w:r>
        <w:t>Urteil des Verwaltungsgerichts des Kantons Bern vom 27.10.2025, Nr. 100.2024.264U, Seite 18</w:t>
      </w:r>
    </w:p>
    <w:p>
      <w:r>
        <w:rPr>
          <w:b/>
        </w:rPr>
        <w:t>E. 10</w:t>
      </w:r>
    </w:p>
    <w:p>
      <w:r>
        <w:t>Die Beschwerdeführerin beantragt die Sistierung des Beschwerdeverfah- rens, bis ein taugliches QS-System sowie ein taugliches Messverfahren für adaptive Antennen vorliegen und bis das Bundesgericht ein Urteil zu adapti- ven Antennen mit Anwendung des Korrekturfaktors gefällt hat (Rechtsbe- gehren 3 und 4 der Beschwerde; vorne Bst. C). Nach Art. 38 VRPG kann die instruierende Behörde ein Verfahren einstellen, wenn dessen Ausgang vom Entscheid eines anderen Verfahrens abhängt oder wesentlich beeinflusst wird oder wenn im anderen Verfahren über die gleiche Rechtsfrage zu befinden ist. Wie sich aus den vorangehenden Erwä- gungen ergibt, können die sich im vorliegenden Verfahren stellenden Rechtsfragen ohne Weiterungen zum QS-System und zum Messverfahren sowie ohne das Abwarten von Urteilen des Bundesgerichts beurteilt werden, abgesehen davon, dass die Beschwerdeführerin nicht substanziiert darlegt, um welche Verfahren es sich handeln soll, deren Urteil sie abwarten will. Es besteht daher kein Grund, das vorliegende Verfahren zu sistieren. Die An- träge sind abzuweisen.</w:t>
      </w:r>
    </w:p>
    <w:p>
      <w:r>
        <w:rPr>
          <w:b/>
        </w:rPr>
        <w:t>E. 11.1</w:t>
      </w:r>
    </w:p>
    <w:p>
      <w:r>
        <w:t>Zusammenfassend ergibt sich, dass der angefochtene Entscheid der Rechtskontrolle standhält. Es besteht deshalb kein Anlass, diesen aufzuhe- ben und die Angelegenheit an die Vorinstanz zurückzuweisen (Rechtsbe- gehren 1 und 2 der Beschwerde; vorne Bst. C). Dem Verfahrensantrag, es sei der Beschwerdeführerin zu allfälligen Stellungnahmen der Bauherrschaft und des AUE das Replikrecht zu gewähren (Rechtsbegehren 6 der Be- schwerde; vorne Bst. C), wurde entsprochen. Die Beschwerde erweist sich als offensichtlich unbegründet und ist abzuweisen, soweit darauf einzutreten ist (vorne E. 3.3). Das Verwaltungsgericht beurteilt solche Rechtsmittel in Zweierbesetzung (Art. 56 Abs. 3 des Gesetzes vom 11. Juni 2009 über die Organisation der Gerichtsbehörden und der Staatsanwaltschaft [GSOG; BSG 161.1]).</w:t>
      </w:r>
    </w:p>
    <w:p>
      <w:r>
        <w:t>Urteil des Verwaltungsgerichts des Kantons Bern vom 27.10.2025, Nr. 100.2024.264U, Seite 19</w:t>
      </w:r>
    </w:p>
    <w:p>
      <w:r>
        <w:rPr>
          <w:b/>
        </w:rPr>
        <w:t>E. 11.2</w:t>
      </w:r>
    </w:p>
    <w:p>
      <w:r>
        <w:t>Bei diesem Verfahrensausgang hat die unterliegende Beschwerde- führerin die Kosten für das verwaltungsrechtliche Verfahren zu tragen (Art. 108 Abs. 1 VRPG). Parteikosten sind keine zu sprechen (Art. 108 Abs. 3 i.V.m.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