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162 vom 8. Oktober 2024</w:t>
      </w:r>
    </w:p>
    <w:p>
      <w:r>
        <w:t>BE Verwaltungsgericht, 2024-10-08, DE</w:t>
      </w:r>
    </w:p>
    <w:p>
      <w:r>
        <w:rPr>
          <w:b/>
        </w:rPr>
        <w:t xml:space="preserve">Quelle: </w:t>
      </w:r>
      <w:r>
        <w:t>https://mcp.opencaselaw.ch/entscheid/be_verwaltungsgericht_100_2024_162</w:t>
      </w:r>
    </w:p>
    <w:p>
      <w:r>
        <w:t>FR: BE_VERWALTUNGSGERICHT 100 2024 162 du 8 octobre 2024</w:t>
      </w:r>
    </w:p>
    <w:p>
      <w:r>
        <w:t>IT: BE_VERWALTUNGSGERICHT 100 2024 162 del 8 ottobre 2024</w:t>
      </w:r>
    </w:p>
    <w:p>
      <w:pPr>
        <w:pStyle w:val="Heading2"/>
      </w:pPr>
      <w:r>
        <w:t>Regeste</w:t>
      </w:r>
    </w:p>
    <w:p>
      <w:r>
        <w:t>Sofortunterstützung im Zusammenhang mit der Covid-19-Epidemie; Rückerstattung (Entscheid der Wirt-schafts-, Energie- und Umweltdirektion des Kantons Bern vom 7. Mai 2024; H2023-006) | Subventionen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11 Abs. 2 der Kantonalen Verordnung vom 18. Dezember 2020 über Härtefallmassnahmen für Unternehmen im Zusam- menhang mit der Covid-19-Epidemie [Kantonale Härtefallverordnung; BSG 901.112] i.V.m. Art. 28 des Staatsbeitragsgesetzes vom 16. September 1992 [StBG; BSG 641.1]; zur Anwendbarkeit des StBG vgl. hinten E. 2.1). Die Be- schwerdeführerin hat am vorinstanzlichen Verfahren teilgenommen, ist durch den angefochtenen Entscheid besonders berührt und hat ein schutz- würdiges Interesse an dessen Aufhebung oder Änderung (Art. 79 Abs. 1 VRPG). Die Bestimmungen über Form und Frist sind eingehalten (Art. 81 Abs. 1 i.V.m. Art. 32 VRPG).</w:t>
      </w:r>
    </w:p>
    <w:p>
      <w:r>
        <w:rPr>
          <w:b/>
        </w:rPr>
        <w:t>E. 1.2</w:t>
      </w:r>
    </w:p>
    <w:p>
      <w:r>
        <w:t>Das Verfahren vor dem Verwaltungsgericht ist auf den Streitgegen- stand beschränkt. Dieser wird durch den angefochtenen Entscheid und in- nerhalb dieses Rahmens durch die Beschwerdeanträge, allenfalls unter</w:t>
      </w:r>
    </w:p>
    <w:p>
      <w:r>
        <w:t>Urteil des Verwaltungsgerichts des Kantons Bern vom 08.10.2024, Nr. 100.2024.162U, Seite 4 Rückgriff auf deren Begründung, bestimmt (vgl. BVR 2020 S. 59 E. 2.2, 2016 S. 560 E. 2).</w:t>
      </w:r>
    </w:p>
    <w:p>
      <w:r>
        <w:rPr>
          <w:b/>
        </w:rPr>
        <w:t>E. 1.2.1</w:t>
      </w:r>
    </w:p>
    <w:p>
      <w:r>
        <w:t>Die WEU ist mangels schutzwürdigen Interesses auf das Begehren der Beschwerdeführerin nicht eingetreten, es sei festzustellen, die Sofortun- terstützung von Fr. 377'577.-- sei nicht zurückzuerstatten (angefochtener Entscheid E. 1.5, 7.1 und Dispositiv-Ziff. 1). Die Beschwerdeführerin äussert sich zu dieser Anordnung mit keinem Wort und stellt vor Verwaltungsgericht kein entsprechendes Feststellungsbegehren. Ihr Hauptantrag auf vollum- fängliche Aufhebung des angefochtenen Entscheids (und Verzicht auf die Rückforderung; vgl. Rechtsbegehren Ziff. 1 f. und vorne Bst. C) ist unter die- sen Umständen einschränkend dahin zu verstehen, dass nur die Beschwer- deabweisung mit der Kostenregelung aufgehoben werden soll. Auf die so verstandene Beschwerde ist – vorbehältlich der nachfolgenden Ausführun- gen – einzutreten.</w:t>
      </w:r>
    </w:p>
    <w:p>
      <w:r>
        <w:rPr>
          <w:b/>
        </w:rPr>
        <w:t>E. 1.2.2</w:t>
      </w:r>
    </w:p>
    <w:p>
      <w:r>
        <w:t>Die Beschwerdeführerin beantragt im Eventualstandpunkt erstmals, es sei ihr unter Verzicht auf Verzugszinsen eine ratenweise Rückzahlung zu gewähren (vorne Bst. C). Damit erweitert sie den Streitgegenstand in unzu- lässiger Weise, weshalb insoweit auf ihre Beschwerde nicht einzutreten ist (vgl. auch Beschwerdeantwort S. 2 sowie hinten E. 6).</w:t>
      </w:r>
    </w:p>
    <w:p>
      <w:r>
        <w:rPr>
          <w:b/>
        </w:rPr>
        <w:t>E. 1.3</w:t>
      </w:r>
    </w:p>
    <w:p>
      <w:r>
        <w:t>Das Verwaltungsgericht überprüft den angefochtenen Entscheid auf Rechtsverletzungen hin (Art. 80 Bst. a und b VRPG).</w:t>
      </w:r>
    </w:p>
    <w:p>
      <w:r>
        <w:rPr>
          <w:b/>
        </w:rPr>
        <w:t>E. 2</w:t>
      </w:r>
    </w:p>
    <w:p>
      <w:r>
        <w:t>September 2021 geltende (materielle) Recht (vgl. BVR 2024 S. 30 E. 2.4 mit Hinweisen). Nur diese Verfügung ist einem Widerruf zugänglich, hat sie doch die Verfügung vom 11. Mai 2021 ersetzt (vgl. aArt. 11 Abs. 1a [zweiter Satz] Kantonale Härtefallverordnung [Änderung vom 7.4.2021; BAG 21-031; in Kraft bis 31.12.2021]; vgl. VGE 2023/76 vom 19.12.2023 E. 3.1 f.; Markus Müller, in Herzog/Daum [Hrsg.], Kommentar zum bernischen VRPG, 2. Aufl. 2020, Art. 56 N. 1 ff., 19).</w:t>
      </w:r>
    </w:p>
    <w:p>
      <w:r>
        <w:rPr>
          <w:b/>
        </w:rPr>
        <w:t>E. 2.1</w:t>
      </w:r>
    </w:p>
    <w:p>
      <w:r>
        <w:t>Eine Verfügung, mit welcher Sofortunterstützung zugesichert wurde, wird widerrufen und die ausbezahlte Sofortunterstützung wird zurückgefor- dert, wenn sie in Verletzung von Rechtsvorschriften oder aufgrund eines un- richtigen oder unvollständigen Sachverhalts zu Unrecht zugesichert oder ausbezahlt worden ist (Art. 11 Abs. 2 Kantonale Härtefallverordnung i.V.m. Art. 23 Abs. 1 und 4 erster Satz StBG; vgl. VGE 2023/76 vom 19.12.2023</w:t>
      </w:r>
    </w:p>
    <w:p>
      <w:r>
        <w:t>Urteil des Verwaltungsgerichts des Kantons Bern vom 08.10.2024, Nr. 100.2024.162U, Seite 5 E. 2). Zusicherung und Auszahlung der Sofortunterstützung der Beschwer- deführerin sind nach den Bestimmungen der Kantonalen Härtefallverord- nung erfolgt, weshalb zu prüfen ist, ob diese verletzt worden sind (gegebe- nenfalls unter Berücksichtigung entsprechender bundesrechtlicher Vorga- ben; vgl. hinten E. 2.2.2). Dabei ist zu beachten, dass die bundes- sowie kantonalrechtlichen Bestimmungen über die Härtefallmassnahmen für Un- ternehmen während des Gesuchsverfahrens (vgl. vorne Bst. A) mehrfach geändert wurden und heute teilweise nicht mehr in Kraft sind (vgl. Art. 21 Abs. 2 des Bundesgesetzes vom 25. September 2020 über die gesetzlichen Grundlagen für Verordnungen des Bundesrates zur Bewältigung der Covid- 19-Epidemie [Covid-19-Gesetz; SR 818.102]; Art. 23 Abs. 2 der Verordnung vom 25. November 2020 über Härtefallmassnahmen für Unternehmen im Zusammenhang mit der Covid-19-Epidemie [Covid-19-Härtefallverordnung; SR 951.262]; seit 8.2.2022: Covid-19-Härtefallverordnung 2020, HFMV 20 [AS 2022 61]; Art. 18 Abs. 2 Kantonale Härtefallverordnung). Massgebend ist hier auf beiden föderalen Stufen das im Zeitpunkt der Verfügung vom</w:t>
      </w:r>
    </w:p>
    <w:p>
      <w:r>
        <w:rPr>
          <w:b/>
        </w:rPr>
        <w:t>E. 2.2</w:t>
      </w:r>
    </w:p>
    <w:p>
      <w:r>
        <w:t>Die Rechtslage stellte sich seinerzeit wie folgt dar:</w:t>
      </w:r>
    </w:p>
    <w:p>
      <w:r>
        <w:rPr>
          <w:b/>
        </w:rPr>
        <w:t>E. 2.2.1</w:t>
      </w:r>
    </w:p>
    <w:p>
      <w:r>
        <w:t>Nach aArt. 12 Abs. 1 Covid-19-Gesetz konnte der Bund auf Antrag eines oder mehrerer Kantone Härtefallmassnahmen dieser Kantone unter- stützen für Einzelunternehmen, Personengesellschaften oder juristische Personen mit Sitz in der Schweiz (Unternehmen), die vor dem 1. Oktober 2020 gegründet worden waren oder ihre Geschäftstätigkeit aufgenommen hatten, am 1. Oktober 2020 ihren Sitz im jeweiligen Kanton hatten, aufgrund der Natur ihrer wirtschaftlichen Tätigkeit von den Folgen von Covid-19 be- sonders betroffen waren und einen Härtefall darstellten, insbesondere Un- ternehmen in der Wertschöpfungskette der Eventbranche, Schausteller, Dienstleister der Reisebranche, Gastronomie- und Hotelleriebetriebe sowie</w:t>
      </w:r>
    </w:p>
    <w:p>
      <w:r>
        <w:t>Urteil des Verwaltungsgerichts des Kantons Bern vom 08.10.2024, Nr. 100.2024.162U, Seite 6 touristische Betriebe (Änderung vom 19.3.2021 [AS 2021 153]; in Kraft bis 31.12.2022). Das Covid-19-Gesetz normierte die Voraussetzungen der Här- tefallmassnahmen für Unternehmen nur grob. Einzelheiten regelte die HFMV 20 (vgl. aArt. 12 Abs. 4 Covid-19-Gesetz [Änderung vom 18.12.2020; AS 2020 S. 5821; in Kraft bis 31.12.2022]; Erläuterungen der Eidgenössi- schen Finanzverwaltung [EFV] vom 4.11.2020 zur HFMV 20, S. 2, einsehbar unter: &lt;www.seco.admin.ch&gt;, Rubriken «Das SECO/Medienmitteilungen 2020/04.11.2020 Bund will Härtefallprogramme der Kantone rasch unterstüt- zen und eröffnet Vernehmlassung zur Härtefallverordnung/Dokumente» [nachfolgend: Erläuterungen EFV 4.11.2020]).</w:t>
      </w:r>
    </w:p>
    <w:p>
      <w:r>
        <w:rPr>
          <w:b/>
        </w:rPr>
        <w:t>E. 2.2.2</w:t>
      </w:r>
    </w:p>
    <w:p>
      <w:r>
        <w:t>Die bundesrechtliche (Mit-)Finanzierung und die Kompetenz zur rechtlichen Ausgestaltung von Härtefallmassnahmen hingen vom Umsatz der betroffenen Unternehmen ab (vgl. aArt. 12 Abs. 1quater und Abs. 1sexies Covid-19-Gesetz [AS 2021 153; in Kraft vom 20.3.2021 bis 31.12.2022; im Folgenden ist jeweils diese Fassung gemeint]): Härtefallmassnahmen zu- gunsten von Unternehmen mit einem Jahresumsatz von mehr als fünf Milli- onen Franken finanzierte der Bund vollständig (aArt. 12 Abs. 1quater Bst. b Covid-19-Gesetz). Die Anspruchsvoraussetzungen des Bundesrechts muss- ten für diese sog. «grossen Unternehmen» in allen Kantonen unverändert eingehalten werden (aArt. 12 Abs. 1sexies zweiter Satz Covid-19-Gesetz, auch zum Folgenden; zum Begriff des «grossen Unternehmens» aArt. 3 Abs. 5 Kantonale Härtefallverordnung [BAG 21-041; in Kraft vom 6.5. bis 31.12.2021]). Die HFMV 20 enthält insoweit zwingende Vorgaben. Vorbe- hältlich weitergehender Härtefallmassnahmen eines Kantons, die dieser voll- ständig selber finanzierte, gilt für diese Unternehmen mithin schweizweit ei- ne einheitliche Regelung (vgl. die einschlägige Botschaft des Bundesrats in BBl 2021 285, S. 26 f.; Erläuterungen der EFV zur Änderung der HFMV 20 vom 31.3.2021, S. 2 f., einsehbar unter: &lt;www.seco.admin.ch&gt;, Rubriken «Das SECO/Medienmitteilungen 2021/31.03.2021 Coronavirus: Bundesrat passt Härtefallverordnung sowie Verordnung zum Erwerbsausfall an/Doku- mente» [nachfolgend: Erläuterungen EFV 31.3.2021], auch zum Folgenden). Demgegenüber leistete der Bund den Kantonen einen Finanzierungsanteil von 70 % an ihre Härtefallmassnahmen für Unternehmen mit einem Jahres- umsatz bis fünf Millionen Franken (vgl. aArt. 12 Abs. 1quater Bst. a Covid-19- Gesetz; gemäss aArt. 3 Abs. 4 Kantonale Härtefallverordnung [BAG 21-041;</w:t>
      </w:r>
    </w:p>
    <w:p>
      <w:r>
        <w:t>Urteil des Verwaltungsgerichts des Kantons Bern vom 08.10.2024, Nr. 100.2024.162U, Seite 7 in Kraft vom 6.5. bis 31.12.2021] sog. «kleine Unternehmen»). Vorausset- zung für diese Unterstützung ist, dass die Mindestanforderungen des Bun- des eingehalten wurden (aArt. 12 Abs. 1sexies erster Satz Covid-19-Gesetz). Darüber hinaus verfügten die Kantone beim Erlass von Härtefallmassnah- men jedoch über einen Regelungsspielraum, um besonderen Gegebenhei- ten auf ihrem Kantonsgebiet Rechnung zu tragen. So konnten sie die in den Abschnitten zwei und drei der HFMV 20 geregelten Mindestvoraussetzun- gen bei Bedarf weiter verschärfen oder eingrenzen (Botschaft des Bundes- rats zu Änderungen des Covid-19-Gesetzes und des Covid-19-Solidarbürg- schaftsgesetzes, in BBl 2020 S. 8819 ff., 8824; Erläuterungen EFV 4.11.2020, S. 2 f. und 4 [Erläuterungen zu Art. 1]; vgl. auch Erläuterungen EFV 31.3.2021, S. 4 [Erläuterungen zu Art. 1]; ferner Vortrag der WEU zur Kantonalen Härtefallverordnung, S. 4, einsehbar unter: &lt;www.rr.be.ch&gt;, Rubriken «Beschlüsse/Beschlüsse suchen», Suchbegriff: «1524/2020» [nachfolgend Vortrag WEU 18.12.2020]; zum Ganzen auch Vortrag der WEU zur Änderung der Kantonalen Härtefallverordnung vom 7.4.2021, S. 1, ein- sehbar unter: &lt;www.rr.be.ch&gt;, Rubriken «Beschlüsse/Sitzungen/2021/Re- gierungssitzung vom 7.4.2021/WEU-Einzelgeschäfte/2021.WEU.37/Unter- lagen» [nachfolgend: Vortrag WEU 7.4.2021]; Vortrag der WEU zur Ände- rung der Kantonalen Härtefallverordnung vom 5.5.2021, S. 1 und 2 f. [Erläu- terungen zu Art. 12-12c], einsehbar unter: &lt;www.rr.be.ch&gt;, Rubriken «Be- schlüsse/Sitzungen/2021/Regierungssitzung vom 5. Mai 2021/WEU-Einzel- geschäfte/2021.WEU.37/Unterlagen», [nachfolgend: Vortrag WEU 5.5.2021]; BGer 2C_8/2022 vom 28.9.2022, in SJZ 2023 S. 156 E. 1.3.4).</w:t>
      </w:r>
    </w:p>
    <w:p>
      <w:r>
        <w:rPr>
          <w:b/>
        </w:rPr>
        <w:t>E. 2.2.3</w:t>
      </w:r>
    </w:p>
    <w:p>
      <w:r>
        <w:t>Die mit der Kantonalen Härtefallverordnung am 18. Dezember 2020 lancierte kantonale Unterstützung basierte auf den bundesrechtlichen Vor- gaben und Art. 15 des Wirtschaftsförderungsgesetzes vom 12. März 1997 (WFG; BSG 901.1). Gemäss aArt. 1 (BAG 20-139; in Kraft bis 31.12.2021) bezweckte die Kantonale Härtefallverordnung, die Beteiligung des Kantons an den Härtefallmassnahmen des Bundes für Unternehmen sowie den Voll- zug zu regeln (Abs. 1) und die Anforderungen an Unternehmen sowie den Umfang der Unterstützung zu konkretisieren (Abs. 2). Mit der Unterstützung sollten sogenannte Härtefälle abgefedert werden, die direkt oder indirekt auf behördliche Massnahmen zurückzuführen waren. Ziel war, Konkurse von Unternehmen zu verhindern und Arbeitsplätze zu erhalten (Vortrag WEU</w:t>
      </w:r>
    </w:p>
    <w:p>
      <w:r>
        <w:t>Urteil des Verwaltungsgerichts des Kantons Bern vom 08.10.2024, Nr. 100.2024.162U, Seite 8 18.12.2020, S. 1 f.). Für kleine Unternehmen waren gemäss Praxis der WEU drei Formen von Sofortunterstützung vorgesehen (zum Begriff des kleinen Unternehmens E. 2.2.2 hiervor; die nachfolgend zitierten Bestimmungen der Kantonalen Härtefallverordnung waren in Kraft bis 31.12.2021): Wenn sie eine Umsatzeinbusse von mehr als 40 % in zwölf aufeinanderfolgenden Ka- lendermonaten ab Januar 2020 bis zum 30. Juni 2021 erlitten hatten, konn- ten sie erstens ein «Gesuch Härtefall 1» einreichen (vgl. aArt. 12 Abs. 1 [Än- derung vom 5.5.2021; BAG 21-041] i.V.m. aArt. 9 Abs. 2 Bst. c [Änderung vom 30.6.2021; BAG 21-055] und aArt. 3 [Änderung vom 5.5.2021; BAG 21- 041). Mussten sie aufgrund von Massnahmen des Bundes oder des Kantons zur Eindämmung der Covid-19-Epidemie ihren Betrieb im Zeitraum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