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BE_VERWALTUNGSGERICHT 100 2022 357 vom 18. Oktober 2022</w:t>
      </w:r>
    </w:p>
    <w:p>
      <w:r>
        <w:t>BE Verwaltungsgericht, 2022-10-18, DE</w:t>
      </w:r>
    </w:p>
    <w:p>
      <w:r>
        <w:rPr>
          <w:b/>
        </w:rPr>
        <w:t xml:space="preserve">Quelle: </w:t>
      </w:r>
      <w:r>
        <w:t>https://mcp.opencaselaw.ch/entscheid/be_verwaltungsgericht_100_2022_357</w:t>
      </w:r>
    </w:p>
    <w:p>
      <w:r>
        <w:t>FR: BE_VERWALTUNGSGERICHT 100 2022 357 du 18 octobre 2022</w:t>
      </w:r>
    </w:p>
    <w:p>
      <w:r>
        <w:t>IT: BE_VERWALTUNGSGERICHT 100 2022 357 del 18 ottobre 2022</w:t>
      </w:r>
    </w:p>
    <w:p>
      <w:pPr>
        <w:pStyle w:val="Heading2"/>
      </w:pPr>
      <w:r>
        <w:t>Regeste</w:t>
      </w:r>
    </w:p>
    <w:p>
      <w:r>
        <w:t>Verweigerung der Kurzaufenthaltsbewilligung zwecks Eheschliessung (Entscheid der Sicherheitsdirektion des Kantons Bern vom 18. Oktober 2022; 2022.SIDGS.446) | Ausländerrecht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</w:t>
      </w:r>
    </w:p>
    <w:p>
      <w:r>
        <w:rPr>
          <w:b/>
        </w:rPr>
        <w:t>E. 2</w:t>
      </w:r>
    </w:p>
    <w:p>
      <w:r>
        <w:t>Aufl. 2020, Art. 44 N. 5 mit weiteren Hinweisen). – Eine Sendung ist ferner rechtsgültig zugestellt, wenn sie Drittpersonen übergeben wird, die dem Machtbereich der Adressatin oder des Adres-</w:t>
      </w:r>
    </w:p>
    <w:p>
      <w:r>
        <w:t>Urteil des Verwaltungsgerichts des Kantons Bern vom 09.02.2023, Nr. 100.2022.357U Seite 4 saten zuzurechnen sind (Hilfspersonen; vgl. Art. 101 des Schweizeri- schen Obligationenrechts [OR; SR 220]). Dazu zählen auch beliebige Dritte, die von der Adressatin bzw. dem Adressaten zum Empfang er- mächtigt wurden (vgl. Michel Daum, a.a.O., Art. 44 N. 5 und 39; vgl. auch BGer 6F_11/2022 vom 4.7.2022 E. 3 f.). Mit der Zustellung an die empfangsberechtigte Stelle ist der Verwaltungsakt rechtsgültig eröff- net, unbesehen davon, wann die Adressatin bzw. der Adressat faktisch davon Kenntnis nehmen kann. – Greift die Adressatin bzw. der Adressat durch eine besondere Anwei- sung (z.B. Umleitungsauftrag an die Post) in den üblichen Zustellvor- gang ein, hat sie bzw. er etwaige Verzögerungen oder Fehlleistungen von Hilfspersonen nach Abschluss des ordentlichen Eintreffens der Sendung bei der Poststelle selber zu vertreten (vgl. BGer 6F_11/2022 vom 4.7.2022 E. 4 mit Hinweisen, 1C_699/2020 vom 18.2.2021 E. 5.2). – Der angefochtene Entscheid wurde demnach der zum Empfang be- rechtigten D.________ AG am 19. Oktober 2022 am Schalter zugestellt und damit den Beschwerdeführenden zu diesem Zeitpunkt rechtsgültig eröffnet. Die Beschwerdeführenden müssen sich das Verhalten der C.________ und der D.________ AG vollumfänglich anrechnen lassen, unbesehen davon, ob diese allfällige Weisungen oder vertragliche Abmachungen missachtet haben (Michel Daum, a.a.O., Art. 44 N. 39). – Die dreissigtägige Beschwerdefrist begann am Folgetag der Zustel- lung, d.h. am 20. Oktober 2022 zu laufen (Art. 41 Abs. 1 VRPG) und endete am Freitag 18. November 2022. Die Beschwerde hätte spätes- tens an diesem Tag der schweizerischen Post übergeben werden müs- sen (Art. 42 Abs. 1 und 2 VRPG). – Die Beschwerde vom 21. November 2022 wurde somit nach Ablauf der Beschwerdefrist und damit verspätet erhoben. – Die Beschwerdeführenden machen für diesen Fall geltend, es sei ihnen eine Nachfrist nach Art. 148 Abs. 1 der Schweizerischen Zivil-</w:t>
      </w:r>
    </w:p>
    <w:p>
      <w:r>
        <w:t>Urteil des Verwaltungsgerichts des Kantons Bern vom 09.02.2023, Nr. 100.2022.357U, Seite 5 prozessordnung vom 19. Dezember 2008 (Zivilprozessordnung, ZPO; SR 272) zu gewähren. – Das Verfahren vor dem Verwaltungsgericht richtet sich nicht nach der ZPO, sondern den Bestimmungen des kantonalen Verwaltungsrechts- pflegegesetzes. Gemäss Art. 43 Abs. 1 VRPG können gesetzliche Fristen wie z.B. die Beschwerdefrist nicht erstreckt werden. – In Ausnahmefällen kann eine versäumte gesetzliche Frist wiederher- gestellt werden, wenn die säumige Person aus hinreichenden, objekti- ven oder subjektiven Gründen davon abgehalten worden ist, fristge- recht zu handeln oder eine Vertretung zu bestellen, wobei es sich um Gründe von einigem Gewicht handeln muss (Art. 43 Abs. 2 VRPG; z.B. schwere Erkrankung, höhere Gewalt, unerwarteter Tod naher Angehö- riger). Organisatorische Unzulänglichkeiten, Unkenntnis der Rechts- lage oder das nicht weisungsgemässe Verhalten von Hilfspersonen stellen keinen Fristwiederherstellungsgrund dar (Michel Daum, a.a.O., Art. 43 N. 14 und N. 17 mit Hinweisen). – Hier sind keine Gründe für eine Wiederherstellung der Beschwerdefrist im hiervor umschriebenen Sinne ersichtlich oder dargetan, weshalb das Gesuch abzuweisen und auf die Beschwerde wegen Verspätung nicht einzutreten ist. – Die Beschwerdeführenden gelten bei diesem Prozessausgang als un- terliegend und haben die Verfahrenskosten zu tragen (Art. 108 Abs. 1 VRPG). – Der Entscheid fällt in die einzelrichterliche Zuständigkeit (Art. 57 Abs. 1 des Gesetzes vom 11. Juni 2009 über die Organisation der Gerichts- behörden und der Staatsanwaltschaft [GSOG; BSG 161.1]).</w:t>
      </w:r>
    </w:p>
    <w:p>
      <w:r>
        <w:t>Urteil des Verwaltungsgerichts des Kantons Bern vom 09.02.2023, Nr. 100.2022.357U Seite 6 Demnach entscheidet der Einzelrichter: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