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335 vom 12. Dezember 2024</w:t>
      </w:r>
    </w:p>
    <w:p>
      <w:r>
        <w:t>BE Verwaltungsgericht, 2024-12-12, DE</w:t>
      </w:r>
    </w:p>
    <w:p>
      <w:r>
        <w:rPr>
          <w:b/>
        </w:rPr>
        <w:t xml:space="preserve">Quelle: </w:t>
      </w:r>
      <w:r>
        <w:t>https://mcp.opencaselaw.ch/entscheid/be_verwaltungsgericht_100_2022_335</w:t>
      </w:r>
    </w:p>
    <w:p>
      <w:r>
        <w:t>FR: BE_VERWALTUNGSGERICHT 100 2022 335 du 12 décembre 2024</w:t>
      </w:r>
    </w:p>
    <w:p>
      <w:r>
        <w:t>IT: BE_VERWALTUNGSGERICHT 100 2022 335 del 12 dicembre 2024</w:t>
      </w:r>
    </w:p>
    <w:p>
      <w:pPr>
        <w:pStyle w:val="Heading2"/>
      </w:pPr>
      <w:r>
        <w:t>Regeste</w:t>
      </w:r>
    </w:p>
    <w:p>
      <w:r>
        <w:t>Verweigerung einer Aufenthaltsbewilligung und Wegweisung (Entscheid der Sicherheitsdirektion des Kantons Bern vom 26. September 2022; 2022.SIDGS.375)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Der Beschwerdeführer beantragt die Aufhebung des angefochtenen Entscheids und damit auch der Verweigerung der unentgeltlichen Rechts- pflege im vorinstanzlichen Verfahren. In seiner Beschwerde führt er aber mit keinem Wort aus, weshalb die SID mit der Abweisung seines Gesuchs um unentgeltliche Rechtspflege Recht verletzt haben soll. Mangels Begründung ist auf die Beschwerde in diesem Punkt nicht einzutreten (Art. 32 Abs. 2 VRPG).</w:t>
      </w:r>
    </w:p>
    <w:p>
      <w:r>
        <w:t>Urteil des Verwaltungsgerichts des Kantons Bern vom 12.12.2024, Nr. 100.2022.335U, Seite 4</w:t>
      </w:r>
    </w:p>
    <w:p>
      <w:r>
        <w:rPr>
          <w:b/>
        </w:rPr>
        <w:t>E. 1.3</w:t>
      </w:r>
    </w:p>
    <w:p>
      <w:r>
        <w:t>Das Verwaltungsgericht überprüft den angefochtenen Entscheid auf Rechtsverletzungen hin (Art. 80 Bst. a und b VRPG).</w:t>
      </w:r>
    </w:p>
    <w:p>
      <w:r>
        <w:rPr>
          <w:b/>
        </w:rPr>
        <w:t>E. 2</w:t>
      </w:r>
    </w:p>
    <w:p>
      <w:r>
        <w:t>Der Beschwerdeführer war Inhaber einer Niederlassungsbewilligung (vgl. vorne Bst. A). Die Niederlassungsbewilligung erlischt unter anderem mit der Abmeldung ins Ausland (Art. 61 Abs. 1 Bst. a des Bundesgesetzes vom 16. Dezember 2005 über die Ausländerinnen und Ausländer und über die Integration [Ausländer- und Integrationsgesetz, AIG; SR 142.20]) oder wenn die ausländische Person, ohne sich abzumelden, die Schweiz für mehr als sechs Monate verlässt (Art. 61 Abs. 2 AIG; vgl. hierzu BGE 149 I 66 E. 4.7; BGer 2C_693/2021 vom 25.10.2021 E. 2.2; BVR 2019 S. 314 E. 3.2; VGE 2022/28 vom 22.12.2023 E. 2 [bestätigt durch BGer 2C_76/2024 vom 4.9.2024]; JTA 2022/198 vom 20.9.2023 E. 3.1). Nach konstanter Recht- sprechung kommt es für das Erlöschen weder auf die Motive der Landesab- wesenheit noch auf die Absichten der betroffenen Person an (BGE 149 I 66 E. 4.7; BGer 2C_693/2021 vom 25.10.2021 E. 2.2). – Der Beschwerdeführer hat die Schweiz am 1. Juli 2018, angeblich ferienhalber, nach Kamerun ver- lassen und ist erst am 12. September 2020 in die Schweiz zurückgekehrt. Selbst wenn die Abmeldung durch den Stiefvater entgegen dem Willen des Beschwerdeführers erfolgt sein sollte (vgl. vorne Bst. A), ist die Niederlas- sungsbewilligung in Folge Ablaufs der sechsmonatigen Frist erloschen, zu- mal der Beschwerdeführer auch kein (rechtzeitiges) Gesuch um Aufrechter- haltung der Niederlassungsbewilligung gestellt hat (Art. 61 Abs. 2 AIG). Das Erlöschen der Niederlassungsbewilligung ist unbestritten (Beschwerde S. 4 f.; angefochtener Entscheid E. 3; Vernehmlassung vom 7.11.2022 [act. 4]).</w:t>
      </w:r>
    </w:p>
    <w:p>
      <w:r>
        <w:rPr>
          <w:b/>
        </w:rPr>
        <w:t>E. 3</w:t>
      </w:r>
    </w:p>
    <w:p>
      <w:r>
        <w:t>Mit Blick auf die Frage, ob der Beschwerdeführer Anspruch auf eine Aufent- haltsbewilligung aus dem Recht auf Achtung des Privat- und Familienlebens nach Art. 8 der Europäischen Menschenrechtskonvention (EMRK;</w:t>
      </w:r>
    </w:p>
    <w:p>
      <w:r>
        <w:t>Urteil des Verwaltungsgerichts des Kantons Bern vom 12.12.2024, Nr. 100.2022.335U, Seite 5 SR 0.101) bzw. Art. 13 Abs. 1 der Bundesverfassung (BV; SR 101) hat (vgl. angefochtener Entscheid E. 4), ist Folgendes zu erwägen:</w:t>
      </w:r>
    </w:p>
    <w:p>
      <w:r>
        <w:rPr>
          <w:b/>
        </w:rPr>
        <w:t>E. 3.1</w:t>
      </w:r>
    </w:p>
    <w:p>
      <w:r>
        <w:t>Was das Recht auf Achtung des Familienlebens angeht, hat die Vor- instanz die Rechtsprechung korrekt wiedergegeben und angewendet (ange- fochtener Entscheid E. 4.1). Der Beschwerdeführer ist volljährig; daher sind seine Mutter und Geschwister sowie sein Stiefvater nicht Teil seiner Kernfa- milie, welche in erster Linie durch Art. 8 Ziff. 1 EMRK bzw. Art. 13 Abs. 1 BV geschützt ist (Eheleute mit ihren minderjährigen Kindern). Ein konventions- rechtlicher Anspruch auf Bewilligung des Aufenthalts wäre daher nur dann in Betracht zu ziehen, wenn zwischen den betreffenden Personen und dem Be- schwerdeführer ein besonderes Abhängigkeitsverhältnis bestünde (vgl. BGE 144 II 1 E. 6.1 mit Hinweisen; BGer 2C_318/2024 vom 24.6.2024 E. 2.5; BVR 2020 S. 443 E. 4.2.1). Der SID ist beizupflichten, dass ein sol- ches hier nicht ersichtlich ist, was vom Beschwerdeführer vor Verwaltungs- gericht auch nicht mehr bestritten wird (angefochtener Entscheid E. 4.2).</w:t>
      </w:r>
    </w:p>
    <w:p>
      <w:r>
        <w:rPr>
          <w:b/>
        </w:rPr>
        <w:t>E. 3.2</w:t>
      </w:r>
    </w:p>
    <w:p>
      <w:r>
        <w:t>Betreffend das Recht auf Schutz des Privatlebens hat die SID argu- mentiert, dass es im vorliegenden Fall nicht um die Verlängerung bzw. den Widerruf eines bestehenden Aufenthaltsrechts gehe, sondern um dessen Begründung. Das Recht auf Achtung des Privatlebens gemäss Art. 8 EMRK vermittle gerade keinen Anspruch auf Wiedereinreise (angefochtener Ent- scheid E. 4.4). Zudem seien auch keine Umstände ersichtlich oder geltend gemacht, die auf eine besonders ausgeprägte Integration hindeuteten, wes- halb Art. 8 EMRK nicht angerufen werden könne (Stellungnahme vom 4.4.2024 im Licht des zwischenzeitlich ergangenen BGE 149 I 207 [act. 9]).</w:t>
      </w:r>
    </w:p>
    <w:p>
      <w:r>
        <w:rPr>
          <w:b/>
        </w:rPr>
        <w:t>E. 3.2.1</w:t>
      </w:r>
    </w:p>
    <w:p>
      <w:r>
        <w:t>Nach der neueren bundesgerichtlichen Rechtsprechung zum Privat- lebensschutz kann eine ausländische Person nach zehnjähriger rechtmässi- ger Anwesenheit in der Schweiz grundsätzlich einen (potenziellen) Aufent- haltsanspruch nach Art. 8 EMRK geltend machen. Nach dieser Zeitspanne kann im Sinn einer Vermutung regelmässig davon ausgegangen werden, die sozialen Beziehungen seien hier so eng geworden, dass es für die Aufent- haltsbeendigung besonderer Gründe bedarf (grundlegend BGE 144 I 266 E. 3.9; aus der kantonalen Rechtsprechung BVR 2022 S. 19 E. 7.2, 2019 S. 314 E. 5.2.2). Diese Praxis bezieht sich auf Fallkonstellationen, in denen es um die Beendigung bzw. Nichtverlängerung eines Aufenthaltsrechts geht,</w:t>
      </w:r>
    </w:p>
    <w:p>
      <w:r>
        <w:t>Urteil des Verwaltungsgerichts des Kantons Bern vom 12.12.2024, Nr. 100.2022.335U, Seite 6 nicht aber um dessen erstmalige Begründung nach einem (illegalen) Aufent- halt oder um eine weitere Anwesenheit, nachdem diese durch die Behörden rechtskräftig beendet worden ist (BGE 149 I 72 E. 2.1.3; vgl. auch bereits BGE 149 I 66 E. 4.6). Das bedeutet umgekehrt indes nicht, dass illegal an- wesende Ausländerinnen und Ausländer in jedem Fall vom Anwendungsbe- reich der Konventionsgarantie ausgeschlossen sind. Vielmehr kann sich auch in einem solchen Fall ein Anwesenheitsrecht aus Art. 8 EMRK ergeben, wenn die betreffende ausländische Person in der Schweiz besonders ver- wurzelt ist, weil sie Beziehungen unterhält, die über eine normale Integration hinausgehen (vgl. BGE 149 I 207 E. 5.3 [Pra 113/2024 Nr. 9]). Insoweit bleibt die Rechtsprechung massgebend, welche vor BGE 144 I 266 ergan- gen ist (BGE 149 I 207 E. 5.3.4 [Pra 113/2024 Nr. 9]). Erforderlich sind da- nach besonders intensive private Beziehungen beruflicher oder gesellschaft- licher Art (BGE 144 II 1 E. 6.1 am Ende; BVR 2019 S. 314 E. 5.2.1) bzw. ver- tiefte soziale Beziehungen zum ausserfamiliären bzw. ausserhäuslichen Be- reich (BGE 130 II 281 E. 3.2.1; BVR 2015 S. 309 E. 5.1; VGE 2023/181 vom 21.12.2023 E. 3.2; JTA 2022/198 vom 20.9.2023 E. 4.2.1).</w:t>
      </w:r>
    </w:p>
    <w:p>
      <w:r>
        <w:rPr>
          <w:b/>
        </w:rPr>
        <w:t>E. 3.2.2</w:t>
      </w:r>
    </w:p>
    <w:p>
      <w:r>
        <w:t>Es ist unbestritten, dass der Beschwerdeführer von 2007 bis zu sei- ner Ausreise 2018 während rund 11 Jahren in der Schweiz gelebt hat. Seit September 2020 hält er sich wieder in der Schweiz auf (vgl. vorne Bst. A). Er verfügt jedoch über keine Aufenthalts- oder Niederlassungsbewilligung mehr, da diese wegen mehr als sechsmonatiger Landesabwesenheit erlo- schen ist (vgl. vorne E. 2). Im Streit liegt mithin die Erteilung einer (neuen) Aufenthaltsbewilligung.</w:t>
      </w:r>
    </w:p>
    <w:p>
      <w:r>
        <w:rPr>
          <w:b/>
        </w:rPr>
        <w:t>E. 3.2.3</w:t>
      </w:r>
    </w:p>
    <w:p>
      <w:r>
        <w:t>Ob Art. 8 EMRK dem Beschwerdeführer eine Aufenthaltsbewilligung vermittelt, ist aufgrund einer (umfassenden) Interessenabwägung zu ent- scheiden, wobei die Anwesenheitsdauer ein Element neben anderen bildet (BGE 149 I 207 E. 5.3.1, 144 I 266 E. 3.4, 130 II 281 E. 3.2.1; VGE 2023/181 vom 21.12.2023 E. 3.4). Das gilt nach dem Erwogenen auch bei illegal in der Schweiz lebenden Ausländerinnen und Ausländern. Im Rah- men der geforderten Interessenabwägung sind namentlich die sachverhaltli- chen Feststellungen der Vorinstanz zu überprüfen, auch wenn diese das An- wesenheitsrecht des Beschwerdeführers nicht gestützt auf Art. 8 EMRK,</w:t>
      </w:r>
    </w:p>
    <w:p>
      <w:r>
        <w:t>Urteil des Verwaltungsgerichts des Kantons Bern vom 12.12.2024, Nr. 100.2022.335U, Seite 7 sondern nach Art. 30 Abs. 1 Bst. k und b AIG geprüft hat (erleichterte Wie- derzulassung und schwerwiegender persönlicher Härtefall; angefochtener Entscheid E. 5 f.).</w:t>
      </w:r>
    </w:p>
    <w:p>
      <w:r>
        <w:rPr>
          <w:b/>
        </w:rPr>
        <w:t>E. 3.2.4</w:t>
      </w:r>
    </w:p>
    <w:p>
      <w:r>
        <w:t>Der Beschwerdeführer ist nicht im Strafregister verzeichnet (Auszug Kamerun vom 5.10.2020, Akten MIDI pag. 167; Auszug Schweiz vom 15.3.2024, Beschwerdebeilage [BB] 17 [act. 7A]). Der Betreibungsregister- auszug enthält die Betreibung eines Krankenversicherers über Fr. 455.55 von 2019. Diese dürfte inzwischen gelöscht sein, zumal der Beschwerdefüh- rer die Rechnung sowie die Löschungsgebühr beglichen hat (Betreibungsre- gisterauszug vom 15.3.2024, BB 18 [act. 7A] und Schreiben des Kranken- versicherers vom 25.3.2024, BB 19 [act. 7A]). Nach eigenen Angaben und soweit aktenkundig hat er auch nach seiner Wiedereinreise nie Sozialhilfe bezogen (Akten MIDI pag. 131; Beschwerde S. 6). Er beherrscht die franzö- sische Sprache (Muttersprache) und verfügt aufgrund seiner Berufsausbil- dung in der deutschsprachigen Schweiz vermutlich auch über gute Deutsch- kenntnisse (Akten MIDI pag. 156 ff., 163). Diese Integrationsleistungen sind anzuerkennen, gehen aber nicht über das hinaus, was nach einem (fakti- schen) Aufenthalt von rund 15 Jahren in der Schweiz erwartet werden darf.</w:t>
      </w:r>
    </w:p>
    <w:p>
      <w:r>
        <w:rPr>
          <w:b/>
        </w:rPr>
        <w:t>E. 3.2.5</w:t>
      </w:r>
    </w:p>
    <w:p>
      <w:r>
        <w:t>In beruflich-wirtschaftlicher Hinsicht hat der Beschwerdeführer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