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257 vom 24. August 2021</w:t>
      </w:r>
    </w:p>
    <w:p>
      <w:r>
        <w:t>BE Verwaltungsgericht, 2021-08-24, DE</w:t>
      </w:r>
    </w:p>
    <w:p>
      <w:r>
        <w:rPr>
          <w:b/>
        </w:rPr>
        <w:t xml:space="preserve">Quelle: </w:t>
      </w:r>
      <w:r>
        <w:t>https://mcp.opencaselaw.ch/entscheid/be_verwaltungsgericht_100_2021_257</w:t>
      </w:r>
    </w:p>
    <w:p>
      <w:r>
        <w:t>FR: BE_VERWALTUNGSGERICHT 100 2021 257 du 24 août 2021</w:t>
      </w:r>
    </w:p>
    <w:p>
      <w:r>
        <w:t>IT: BE_VERWALTUNGSGERICHT 100 2021 257 del 24 agosto 2021</w:t>
      </w:r>
    </w:p>
    <w:p>
      <w:pPr>
        <w:pStyle w:val="Heading2"/>
      </w:pPr>
      <w:r>
        <w:t>Regeste</w:t>
      </w:r>
    </w:p>
    <w:p>
      <w:r>
        <w:t>Ablehnungsbegehren in den Verfahren 100.2020.94 und 100.2020.334 | Ausstand/Ablehnung</w:t>
      </w:r>
    </w:p>
    <w:p>
      <w:pPr>
        <w:pStyle w:val="Heading2"/>
      </w:pPr>
      <w:r>
        <w:t>Erwägungen</w:t>
      </w:r>
    </w:p>
    <w:p>
      <w:r>
        <w:rPr>
          <w:b/>
        </w:rPr>
        <w:t>E. 6</w:t>
      </w:r>
    </w:p>
    <w:p>
      <w:r>
        <w:t>August 2020. Ab diesem Zeitpunkt hatte er Kenntnis von der be- haupteten Befangenheit des Gesuchsgegners. – Das Ablehnungsbegehren hat er indes erst am 18. August 2021 ge- stellt. Der Gesuchsteller hat damit nicht unverzüglich im Sinn der ge- setzlichen Bestimmungen und der massgeblichen Rechtsprechung ge- handelt. Das Ablehnungsgesuch ist jedenfalls insoweit offensichtlich verspätet (vgl. VGE 2019/312 vom 27.9.2019, 2014/184 vom 23.9.2014 E. 2.2). – Das Gesuch erweist sich aber auch bei materieller Beurteilung als un- begründet: Nur besonders krasse Fehler oder wiederholte Irrtümer können eine schwere Verletzung von Richterpflichten darstellen und unter Umständen auf eine Absicht zur Benachteiligung einer Prozess- partei schliessen lassen (vgl. BGE 141 IV 178 E. 3.2.3, 138 IV 142 E. 2.3, 125 I 119 E. 3e, 116 Ia 135 E. 3a). – Der Gesuchsteller vermag nicht einmal ansatzweise darzulegen, inwie- fern der Gesuchsgegner Fehlleistungen von einer solchen Schwere begangen hat, dass ein Anschein von Befangenheit begründet würde. Insbesondere kann allein aus dem Umstand, dass der Instruktionsrich- ter gegen eine Partei entschieden hat, nicht auf den Anschein der Be- fangenheit geschlossen werden, und zwar selbst dann nicht, wenn sich der Entscheid als falsch herausstellen sollte, zumal es Sache der zu- ständigen Rechtsmittelinstanzen ist, allfällige Verfahrensfehler festzu- stellen und zu beheben (vgl. Lucie von Büren, a.a.O., Art. 9 N. 28). Dem Gesuchsteller stand denn auch gegen die seiner Auffassung nach unrichtige Zwischenverfügung der Rechtsmittelweg offen, falls er einen nicht wiedergutzumachenden Nachteil befürchten musste. Dass er insoweit bloss in Bezug auf den Kostenschluss ans Bundesgericht gelangt ist, war seine freie Entscheidung. Urteil des Verwaltungsgerichts des Kantons Bern vom 24.08.2021, Nr. 100.2021.257U, Seite 4 – Soweit er im Übrigen den Verdacht äussert, der Gesuchsgegner ver- schleppe die Beschwerdeverfahren im Interesse der Bauherrin, kann ihm ebenfalls nicht gefolgt werden. Hierzu bestehen keinerlei Anhalts- punkte, zumal einerseits die Bauherrin auf eine rasche Erledigung der Streitigkeiten gedrängt und andererseits der Gesuchsteller die Sistie- rung beantragt hat. – Das Ablehnungsbegehren vom 18. August 2021 ist damit als offen- sichtlich unbegründet abzuweisen, soweit überhaupt darauf einzutre- ten ist. In solchen Fällen urteilt das Gericht in Zweierbesetzung (Art. 56 Abs. 3 des Gesetzes vom 11. Juni 2009 über die Organisation der Ge- richtsbehörden und der Staatsanwaltschaft (GSOG; BSG 161.1). – Von einem Schriftenwechsel konnte abgesehen werden (Art. 83 i.V.m. Art. 69 Abs. 1 VRPG). – Der Gesuchsteller wird kostenpflichtig und hat keinen Anspruch auf Parteikostenersatz (Art. 107 Abs. 1 und 3 VRPG). – Bei diesem Urteil handelt es sich um einen selbständig eröffneten Zwi- schenentscheid über ein Ausstandsbegehren im Sinn von Art. 92 Abs. 1 des Bundesgesetzes vom 17. Juni 2005 über das Bundesge- richt (BGG; SR 173.110), gegen den die Beschwerde in öffentlich- rechtlichen Angelegenheiten an das Bundesgericht offensteht (Art. 82 ff. BGG) und der mit Beschwerde gegen den Endentscheid nicht mehr angefochten werden kann (Art. 92 Abs. 2 BGG). Urteil des Verwaltungsgerichts des Kantons Bern vom 24.08.2021, Nr. 100.2021.257U, Seite 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